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19785C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19785C">
        <w:rPr>
          <w:rStyle w:val="FontStyle13"/>
        </w:rPr>
        <w:t>Комитета</w:t>
      </w:r>
      <w:r w:rsidR="00B05080">
        <w:rPr>
          <w:rStyle w:val="FontStyle13"/>
        </w:rPr>
        <w:t xml:space="preserve"> по управлению имуществом округа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>от</w:t>
      </w:r>
      <w:r w:rsidR="00B05080">
        <w:rPr>
          <w:rStyle w:val="FontStyle13"/>
        </w:rPr>
        <w:t xml:space="preserve">  </w:t>
      </w:r>
      <w:r w:rsidR="00CA1F66">
        <w:rPr>
          <w:rStyle w:val="FontStyle13"/>
        </w:rPr>
        <w:t>22</w:t>
      </w:r>
      <w:r>
        <w:rPr>
          <w:rStyle w:val="FontStyle13"/>
        </w:rPr>
        <w:t>.</w:t>
      </w:r>
      <w:r w:rsidR="00602083">
        <w:rPr>
          <w:rStyle w:val="FontStyle13"/>
        </w:rPr>
        <w:t>0</w:t>
      </w:r>
      <w:r w:rsidR="00B05080">
        <w:rPr>
          <w:rStyle w:val="FontStyle13"/>
        </w:rPr>
        <w:t>6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B05080">
        <w:rPr>
          <w:rStyle w:val="FontStyle13"/>
        </w:rPr>
        <w:t>3</w:t>
      </w:r>
      <w:r>
        <w:rPr>
          <w:rStyle w:val="FontStyle13"/>
        </w:rPr>
        <w:t xml:space="preserve"> № </w:t>
      </w:r>
      <w:r w:rsidR="00CA1F66">
        <w:rPr>
          <w:rStyle w:val="FontStyle13"/>
        </w:rPr>
        <w:t>267</w:t>
      </w:r>
      <w:r>
        <w:rPr>
          <w:rStyle w:val="FontStyle13"/>
        </w:rPr>
        <w:t xml:space="preserve"> 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6F28CB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rStyle w:val="FontStyle15"/>
        </w:rPr>
      </w:pPr>
      <w:r>
        <w:rPr>
          <w:rStyle w:val="FontStyle15"/>
        </w:rPr>
        <w:t>1.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B05080">
        <w:rPr>
          <w:rStyle w:val="FontStyle15"/>
        </w:rPr>
        <w:t>20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B05080">
        <w:rPr>
          <w:rStyle w:val="FontStyle15"/>
        </w:rPr>
        <w:t>6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B05080">
        <w:rPr>
          <w:rStyle w:val="FontStyle15"/>
        </w:rPr>
        <w:t>3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B05080">
        <w:rPr>
          <w:rStyle w:val="FontStyle15"/>
        </w:rPr>
        <w:t>44</w:t>
      </w:r>
      <w:r w:rsidR="00BF00F3">
        <w:rPr>
          <w:rStyle w:val="FontStyle15"/>
        </w:rPr>
        <w:t>9</w:t>
      </w:r>
      <w:r w:rsidR="006F28CB" w:rsidRPr="006C02AB">
        <w:rPr>
          <w:rStyle w:val="FontStyle15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B05080">
        <w:rPr>
          <w:rStyle w:val="FontStyle15"/>
        </w:rPr>
        <w:t>округа Вологодской области</w:t>
      </w:r>
      <w:r w:rsidR="006F28CB" w:rsidRPr="006C02AB">
        <w:rPr>
          <w:rStyle w:val="FontStyle15"/>
        </w:rPr>
        <w:t xml:space="preserve"> от </w:t>
      </w:r>
      <w:r w:rsidR="00403694">
        <w:rPr>
          <w:rStyle w:val="FontStyle15"/>
        </w:rPr>
        <w:t>2</w:t>
      </w:r>
      <w:r w:rsidR="0078264C">
        <w:rPr>
          <w:rStyle w:val="FontStyle15"/>
        </w:rPr>
        <w:t>2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B05080">
        <w:rPr>
          <w:rStyle w:val="FontStyle15"/>
        </w:rPr>
        <w:t>6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B05080">
        <w:rPr>
          <w:rStyle w:val="FontStyle15"/>
        </w:rPr>
        <w:t>3</w:t>
      </w:r>
      <w:r w:rsidR="006F28CB" w:rsidRPr="006C02AB">
        <w:rPr>
          <w:rStyle w:val="FontStyle15"/>
        </w:rPr>
        <w:t xml:space="preserve"> №</w:t>
      </w:r>
      <w:r w:rsidR="00CA1F66">
        <w:rPr>
          <w:rStyle w:val="FontStyle15"/>
        </w:rPr>
        <w:t xml:space="preserve"> 267</w:t>
      </w:r>
      <w:r w:rsidR="006F28CB" w:rsidRPr="006C02AB">
        <w:rPr>
          <w:rStyle w:val="FontStyle15"/>
        </w:rPr>
        <w:t xml:space="preserve"> «Об условиях приватизации имущества </w:t>
      </w:r>
      <w:r w:rsidR="00B05080">
        <w:rPr>
          <w:rStyle w:val="FontStyle15"/>
        </w:rPr>
        <w:t>округа</w:t>
      </w:r>
      <w:r w:rsidR="006F28CB" w:rsidRPr="006C02AB">
        <w:rPr>
          <w:rStyle w:val="FontStyle15"/>
        </w:rPr>
        <w:t>».</w:t>
      </w:r>
    </w:p>
    <w:p w:rsidR="00C46022" w:rsidRDefault="00C46022" w:rsidP="0019785C">
      <w:pPr>
        <w:pStyle w:val="Style8"/>
        <w:widowControl/>
        <w:numPr>
          <w:ilvl w:val="0"/>
          <w:numId w:val="1"/>
        </w:numPr>
        <w:tabs>
          <w:tab w:val="left" w:pos="854"/>
        </w:tabs>
        <w:spacing w:line="274" w:lineRule="exact"/>
        <w:ind w:left="432" w:firstLine="0"/>
        <w:jc w:val="left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19785C">
        <w:rPr>
          <w:rStyle w:val="FontStyle15"/>
        </w:rPr>
        <w:t xml:space="preserve">муниципальное образование </w:t>
      </w:r>
      <w:r w:rsidR="003A1E4A">
        <w:rPr>
          <w:rStyle w:val="FontStyle15"/>
        </w:rPr>
        <w:t>«</w:t>
      </w:r>
      <w:r w:rsidR="00B05080">
        <w:rPr>
          <w:rStyle w:val="FontStyle15"/>
        </w:rPr>
        <w:t>Тарногский муниципальный округ</w:t>
      </w:r>
      <w:r w:rsidR="0019785C">
        <w:rPr>
          <w:rStyle w:val="FontStyle15"/>
        </w:rPr>
        <w:t>»</w:t>
      </w:r>
      <w:r>
        <w:rPr>
          <w:rStyle w:val="FontStyle15"/>
        </w:rPr>
        <w:t>.</w:t>
      </w:r>
    </w:p>
    <w:p w:rsidR="00C46022" w:rsidRDefault="00C46022" w:rsidP="0019785C">
      <w:pPr>
        <w:pStyle w:val="Style9"/>
        <w:widowControl/>
        <w:numPr>
          <w:ilvl w:val="0"/>
          <w:numId w:val="1"/>
        </w:numPr>
        <w:tabs>
          <w:tab w:val="left" w:pos="854"/>
        </w:tabs>
        <w:spacing w:before="5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 xml:space="preserve">– Комитет по управлению имуществом 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- Продавец).</w:t>
      </w:r>
    </w:p>
    <w:p w:rsidR="00264B2C" w:rsidRPr="00264B2C" w:rsidRDefault="00C46022" w:rsidP="00264B2C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264B2C" w:rsidRPr="00264B2C" w:rsidRDefault="00C46022" w:rsidP="00264B2C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rStyle w:val="FontStyle15"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BF00F3">
        <w:rPr>
          <w:rStyle w:val="FontStyle15"/>
          <w:b/>
        </w:rPr>
        <w:t>40</w:t>
      </w:r>
      <w:r w:rsidR="00B05080">
        <w:rPr>
          <w:rStyle w:val="FontStyle15"/>
          <w:b/>
        </w:rPr>
        <w:t xml:space="preserve"> 000</w:t>
      </w:r>
      <w:r w:rsidR="00264B2C" w:rsidRPr="00264B2C">
        <w:rPr>
          <w:rStyle w:val="FontStyle15"/>
          <w:b/>
        </w:rPr>
        <w:t>,00</w:t>
      </w:r>
      <w:r w:rsidR="00264B2C" w:rsidRPr="00264B2C">
        <w:rPr>
          <w:rStyle w:val="FontStyle15"/>
        </w:rPr>
        <w:t xml:space="preserve"> ( </w:t>
      </w:r>
      <w:r w:rsidR="00BF00F3">
        <w:rPr>
          <w:rStyle w:val="FontStyle15"/>
        </w:rPr>
        <w:t>сорок</w:t>
      </w:r>
      <w:r w:rsidR="00B05080">
        <w:rPr>
          <w:rStyle w:val="FontStyle15"/>
        </w:rPr>
        <w:t xml:space="preserve"> тысяч</w:t>
      </w:r>
      <w:r w:rsidR="00264B2C" w:rsidRPr="00264B2C">
        <w:rPr>
          <w:rStyle w:val="FontStyle15"/>
        </w:rPr>
        <w:t xml:space="preserve">  рублей 00 копеек) ( с учетом НДС), в том числе :</w:t>
      </w:r>
    </w:p>
    <w:p w:rsidR="00264B2C" w:rsidRPr="00264B2C" w:rsidRDefault="00B05080" w:rsidP="00264B2C">
      <w:pPr>
        <w:ind w:firstLine="567"/>
        <w:jc w:val="both"/>
        <w:rPr>
          <w:rStyle w:val="FontStyle15"/>
        </w:rPr>
      </w:pPr>
      <w:r>
        <w:rPr>
          <w:rStyle w:val="FontStyle15"/>
        </w:rPr>
        <w:t xml:space="preserve">стоимость </w:t>
      </w:r>
      <w:r w:rsidR="00BF00F3">
        <w:rPr>
          <w:rStyle w:val="FontStyle15"/>
        </w:rPr>
        <w:t xml:space="preserve">здания конторы </w:t>
      </w:r>
      <w:r w:rsidR="00264B2C" w:rsidRPr="00264B2C">
        <w:rPr>
          <w:rStyle w:val="FontStyle15"/>
        </w:rPr>
        <w:t xml:space="preserve"> – </w:t>
      </w:r>
      <w:r w:rsidR="00BF00F3">
        <w:rPr>
          <w:rStyle w:val="FontStyle15"/>
        </w:rPr>
        <w:t>32 400</w:t>
      </w:r>
      <w:r w:rsidR="00264B2C" w:rsidRPr="00264B2C">
        <w:rPr>
          <w:rStyle w:val="FontStyle15"/>
        </w:rPr>
        <w:t>,00 (</w:t>
      </w:r>
      <w:r w:rsidR="00BF00F3">
        <w:rPr>
          <w:rStyle w:val="FontStyle15"/>
        </w:rPr>
        <w:t>тридцать две</w:t>
      </w:r>
      <w:r>
        <w:rPr>
          <w:rStyle w:val="FontStyle15"/>
        </w:rPr>
        <w:t xml:space="preserve"> тысяч</w:t>
      </w:r>
      <w:r w:rsidR="00BF00F3">
        <w:rPr>
          <w:rStyle w:val="FontStyle15"/>
        </w:rPr>
        <w:t>и</w:t>
      </w:r>
      <w:r>
        <w:rPr>
          <w:rStyle w:val="FontStyle15"/>
        </w:rPr>
        <w:t xml:space="preserve"> </w:t>
      </w:r>
      <w:r w:rsidR="00BF00F3">
        <w:rPr>
          <w:rStyle w:val="FontStyle15"/>
        </w:rPr>
        <w:t>четыреста</w:t>
      </w:r>
      <w:r w:rsidR="00264B2C" w:rsidRPr="00264B2C">
        <w:rPr>
          <w:rStyle w:val="FontStyle15"/>
        </w:rPr>
        <w:t xml:space="preserve"> </w:t>
      </w:r>
      <w:r w:rsidR="00264B2C">
        <w:rPr>
          <w:rStyle w:val="FontStyle15"/>
        </w:rPr>
        <w:t xml:space="preserve">) </w:t>
      </w:r>
      <w:r w:rsidR="00264B2C" w:rsidRPr="00264B2C">
        <w:rPr>
          <w:rStyle w:val="FontStyle15"/>
        </w:rPr>
        <w:t>рублей ;</w:t>
      </w:r>
    </w:p>
    <w:p w:rsidR="00264B2C" w:rsidRPr="00264B2C" w:rsidRDefault="00B05080" w:rsidP="00264B2C">
      <w:pPr>
        <w:ind w:firstLine="567"/>
        <w:jc w:val="both"/>
        <w:rPr>
          <w:rStyle w:val="FontStyle15"/>
        </w:rPr>
      </w:pPr>
      <w:r>
        <w:rPr>
          <w:rStyle w:val="FontStyle15"/>
        </w:rPr>
        <w:t xml:space="preserve">стоимость </w:t>
      </w:r>
      <w:r w:rsidR="00264B2C" w:rsidRPr="00264B2C">
        <w:rPr>
          <w:rStyle w:val="FontStyle15"/>
        </w:rPr>
        <w:t>земельн</w:t>
      </w:r>
      <w:r w:rsidR="00BF00F3">
        <w:rPr>
          <w:rStyle w:val="FontStyle15"/>
        </w:rPr>
        <w:t>ого</w:t>
      </w:r>
      <w:r w:rsidR="00264B2C" w:rsidRPr="00264B2C">
        <w:rPr>
          <w:rStyle w:val="FontStyle15"/>
        </w:rPr>
        <w:t xml:space="preserve"> участк</w:t>
      </w:r>
      <w:r w:rsidR="00BF00F3">
        <w:rPr>
          <w:rStyle w:val="FontStyle15"/>
        </w:rPr>
        <w:t>а</w:t>
      </w:r>
      <w:r w:rsidR="00264B2C" w:rsidRPr="00264B2C">
        <w:rPr>
          <w:rStyle w:val="FontStyle15"/>
        </w:rPr>
        <w:t xml:space="preserve"> – </w:t>
      </w:r>
      <w:r w:rsidR="00BF00F3">
        <w:rPr>
          <w:rStyle w:val="FontStyle15"/>
        </w:rPr>
        <w:t>7 600</w:t>
      </w:r>
      <w:r w:rsidR="00264B2C" w:rsidRPr="00264B2C">
        <w:rPr>
          <w:rStyle w:val="FontStyle15"/>
        </w:rPr>
        <w:t xml:space="preserve">,00 </w:t>
      </w:r>
      <w:r w:rsidR="00BF00F3">
        <w:rPr>
          <w:rStyle w:val="FontStyle15"/>
        </w:rPr>
        <w:t>семь</w:t>
      </w:r>
      <w:r>
        <w:rPr>
          <w:rStyle w:val="FontStyle15"/>
        </w:rPr>
        <w:t xml:space="preserve"> </w:t>
      </w:r>
      <w:r w:rsidR="00264B2C" w:rsidRPr="00264B2C">
        <w:rPr>
          <w:rStyle w:val="FontStyle15"/>
        </w:rPr>
        <w:t xml:space="preserve">тысяч </w:t>
      </w:r>
      <w:r w:rsidR="00BF00F3">
        <w:rPr>
          <w:rStyle w:val="FontStyle15"/>
        </w:rPr>
        <w:t>шестьсот</w:t>
      </w:r>
      <w:r w:rsidR="00264B2C">
        <w:rPr>
          <w:rStyle w:val="FontStyle15"/>
        </w:rPr>
        <w:t>)</w:t>
      </w:r>
      <w:r w:rsidR="00264B2C" w:rsidRPr="00264B2C">
        <w:rPr>
          <w:rStyle w:val="FontStyle15"/>
        </w:rPr>
        <w:t xml:space="preserve"> рублей .</w:t>
      </w:r>
    </w:p>
    <w:p w:rsidR="00C46022" w:rsidRPr="00264B2C" w:rsidRDefault="00C46022" w:rsidP="00B05080">
      <w:pPr>
        <w:ind w:firstLine="993"/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BF00F3">
        <w:rPr>
          <w:rStyle w:val="FontStyle14"/>
        </w:rPr>
        <w:t>4 0</w:t>
      </w:r>
      <w:r w:rsidR="00B05080" w:rsidRPr="00B05080">
        <w:rPr>
          <w:rStyle w:val="FontStyle14"/>
        </w:rPr>
        <w:t>00</w:t>
      </w:r>
      <w:r w:rsidR="00B05080">
        <w:rPr>
          <w:rStyle w:val="FontStyle14"/>
        </w:rPr>
        <w:t>,00</w:t>
      </w:r>
      <w:r w:rsidR="00B05080" w:rsidRPr="00B05080">
        <w:rPr>
          <w:rStyle w:val="FontStyle14"/>
        </w:rPr>
        <w:t xml:space="preserve"> </w:t>
      </w:r>
      <w:r>
        <w:rPr>
          <w:rStyle w:val="FontStyle15"/>
        </w:rPr>
        <w:t>(</w:t>
      </w:r>
      <w:r w:rsidR="00BF00F3">
        <w:rPr>
          <w:rStyle w:val="FontStyle15"/>
        </w:rPr>
        <w:t>четыре</w:t>
      </w:r>
      <w:r>
        <w:rPr>
          <w:rStyle w:val="FontStyle15"/>
        </w:rPr>
        <w:t xml:space="preserve"> тысяч</w:t>
      </w:r>
      <w:r w:rsidR="00BF00F3">
        <w:rPr>
          <w:rStyle w:val="FontStyle15"/>
        </w:rPr>
        <w:t>и</w:t>
      </w:r>
      <w:r w:rsidR="00B05080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рублей.</w:t>
      </w:r>
    </w:p>
    <w:p w:rsidR="00C46022" w:rsidRDefault="00C46022" w:rsidP="0019785C">
      <w:pPr>
        <w:pStyle w:val="Style9"/>
        <w:widowControl/>
        <w:numPr>
          <w:ilvl w:val="0"/>
          <w:numId w:val="3"/>
        </w:numPr>
        <w:tabs>
          <w:tab w:val="left" w:pos="854"/>
        </w:tabs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>
      <w:pPr>
        <w:widowControl/>
        <w:rPr>
          <w:sz w:val="2"/>
          <w:szCs w:val="2"/>
        </w:rPr>
      </w:pP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BF00F3">
        <w:rPr>
          <w:rStyle w:val="FontStyle15"/>
          <w:b/>
        </w:rPr>
        <w:t>2000</w:t>
      </w:r>
      <w:r w:rsidR="00E9611A">
        <w:rPr>
          <w:rStyle w:val="FontStyle15"/>
          <w:b/>
        </w:rPr>
        <w:t>,00</w:t>
      </w:r>
      <w:r w:rsidR="00E9611A" w:rsidRPr="00E9611A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BF00F3">
        <w:rPr>
          <w:rStyle w:val="FontStyle15"/>
        </w:rPr>
        <w:t>две</w:t>
      </w:r>
      <w:r w:rsidR="00646096">
        <w:rPr>
          <w:rStyle w:val="FontStyle15"/>
        </w:rPr>
        <w:t xml:space="preserve"> тысяч</w:t>
      </w:r>
      <w:r w:rsidR="00BF00F3">
        <w:rPr>
          <w:rStyle w:val="FontStyle15"/>
        </w:rPr>
        <w:t>и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рублей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E9611A">
        <w:rPr>
          <w:rStyle w:val="FontStyle15"/>
        </w:rPr>
        <w:t>26</w:t>
      </w:r>
      <w:r w:rsidR="00264B2C">
        <w:rPr>
          <w:rStyle w:val="FontStyle15"/>
        </w:rPr>
        <w:t xml:space="preserve"> </w:t>
      </w:r>
      <w:r w:rsidR="00E9611A">
        <w:rPr>
          <w:rStyle w:val="FontStyle15"/>
        </w:rPr>
        <w:t xml:space="preserve"> июня</w:t>
      </w:r>
      <w:r>
        <w:rPr>
          <w:rStyle w:val="FontStyle15"/>
        </w:rPr>
        <w:t xml:space="preserve"> 20</w:t>
      </w:r>
      <w:r w:rsidR="00145123">
        <w:rPr>
          <w:rStyle w:val="FontStyle15"/>
        </w:rPr>
        <w:t>2</w:t>
      </w:r>
      <w:r w:rsidR="00E9611A">
        <w:rPr>
          <w:rStyle w:val="FontStyle15"/>
        </w:rPr>
        <w:t>3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683C1B">
        <w:rPr>
          <w:rStyle w:val="FontStyle15"/>
        </w:rPr>
        <w:t>21</w:t>
      </w:r>
      <w:r>
        <w:rPr>
          <w:rStyle w:val="FontStyle15"/>
        </w:rPr>
        <w:t xml:space="preserve"> часов 00 минут.</w:t>
      </w:r>
    </w:p>
    <w:p w:rsidR="00C46022" w:rsidRDefault="00C46022">
      <w:pPr>
        <w:pStyle w:val="Style8"/>
        <w:widowControl/>
        <w:tabs>
          <w:tab w:val="left" w:pos="835"/>
        </w:tabs>
        <w:spacing w:line="274" w:lineRule="exact"/>
        <w:ind w:firstLine="446"/>
        <w:rPr>
          <w:rStyle w:val="FontStyle15"/>
        </w:rPr>
      </w:pPr>
      <w:r>
        <w:rPr>
          <w:rStyle w:val="FontStyle15"/>
        </w:rPr>
        <w:t>10.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7657FE">
        <w:rPr>
          <w:rStyle w:val="FontStyle15"/>
        </w:rPr>
        <w:t>2</w:t>
      </w:r>
      <w:r w:rsidR="00E9611A">
        <w:rPr>
          <w:rStyle w:val="FontStyle15"/>
        </w:rPr>
        <w:t>1</w:t>
      </w:r>
      <w:r w:rsidR="007657FE">
        <w:rPr>
          <w:rStyle w:val="FontStyle15"/>
        </w:rPr>
        <w:t xml:space="preserve"> </w:t>
      </w:r>
      <w:r w:rsidR="00E9611A">
        <w:rPr>
          <w:rStyle w:val="FontStyle15"/>
        </w:rPr>
        <w:t>июля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E9611A">
        <w:rPr>
          <w:rStyle w:val="FontStyle15"/>
        </w:rPr>
        <w:t>3</w:t>
      </w:r>
      <w:r>
        <w:rPr>
          <w:rStyle w:val="FontStyle15"/>
        </w:rPr>
        <w:br/>
        <w:t>года в 16 часов 00 минут.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19785C">
      <w:pPr>
        <w:pStyle w:val="Style8"/>
        <w:widowControl/>
        <w:numPr>
          <w:ilvl w:val="0"/>
          <w:numId w:val="5"/>
        </w:numPr>
        <w:tabs>
          <w:tab w:val="left" w:pos="840"/>
        </w:tabs>
        <w:spacing w:line="274" w:lineRule="exact"/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E9611A">
        <w:rPr>
          <w:rStyle w:val="FontStyle15"/>
        </w:rPr>
        <w:t>25 июля</w:t>
      </w:r>
      <w:r w:rsidR="00264B2C">
        <w:rPr>
          <w:rStyle w:val="FontStyle15"/>
        </w:rPr>
        <w:t xml:space="preserve">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E9611A">
        <w:rPr>
          <w:rStyle w:val="FontStyle15"/>
        </w:rPr>
        <w:t>3</w:t>
      </w:r>
      <w:r>
        <w:rPr>
          <w:rStyle w:val="FontStyle15"/>
        </w:rPr>
        <w:t xml:space="preserve"> года.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>
      <w:pPr>
        <w:pStyle w:val="Style9"/>
        <w:widowControl/>
        <w:tabs>
          <w:tab w:val="left" w:pos="835"/>
        </w:tabs>
        <w:spacing w:before="5"/>
        <w:ind w:firstLine="446"/>
        <w:rPr>
          <w:rStyle w:val="FontStyle15"/>
          <w:u w:val="single"/>
        </w:rPr>
      </w:pPr>
      <w:r>
        <w:rPr>
          <w:rStyle w:val="FontStyle15"/>
        </w:rPr>
        <w:t>14.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E9611A">
        <w:rPr>
          <w:rStyle w:val="FontStyle15"/>
        </w:rPr>
        <w:t>26</w:t>
      </w:r>
      <w:r w:rsidR="00602083">
        <w:rPr>
          <w:rStyle w:val="FontStyle15"/>
        </w:rPr>
        <w:t xml:space="preserve"> </w:t>
      </w:r>
      <w:r w:rsidR="00EE22A4">
        <w:rPr>
          <w:rStyle w:val="FontStyle15"/>
        </w:rPr>
        <w:t>ию</w:t>
      </w:r>
      <w:r w:rsidR="00E9611A">
        <w:rPr>
          <w:rStyle w:val="FontStyle15"/>
        </w:rPr>
        <w:t>л</w:t>
      </w:r>
      <w:r w:rsidR="00EE22A4">
        <w:rPr>
          <w:rStyle w:val="FontStyle15"/>
        </w:rPr>
        <w:t>я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E9611A">
        <w:rPr>
          <w:rStyle w:val="FontStyle15"/>
        </w:rPr>
        <w:t>3</w:t>
      </w:r>
      <w:r>
        <w:rPr>
          <w:rStyle w:val="FontStyle15"/>
        </w:rPr>
        <w:br/>
        <w:t>года в 1</w:t>
      </w:r>
      <w:r w:rsidR="00BF00F3">
        <w:rPr>
          <w:rStyle w:val="FontStyle15"/>
        </w:rPr>
        <w:t>2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9"/>
        <w:widowControl/>
        <w:tabs>
          <w:tab w:val="left" w:pos="840"/>
        </w:tabs>
        <w:ind w:left="451" w:firstLine="0"/>
        <w:jc w:val="left"/>
        <w:rPr>
          <w:rStyle w:val="FontStyle15"/>
          <w:u w:val="single"/>
        </w:rPr>
      </w:pPr>
      <w:r>
        <w:rPr>
          <w:rStyle w:val="FontStyle15"/>
        </w:rPr>
        <w:t>15.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E9611A">
        <w:rPr>
          <w:rStyle w:val="FontStyle15"/>
        </w:rPr>
        <w:t>26</w:t>
      </w:r>
      <w:r w:rsidR="00602083">
        <w:rPr>
          <w:rStyle w:val="FontStyle15"/>
        </w:rPr>
        <w:t xml:space="preserve"> </w:t>
      </w:r>
      <w:r w:rsidR="00EE22A4">
        <w:rPr>
          <w:rStyle w:val="FontStyle15"/>
        </w:rPr>
        <w:t>ию</w:t>
      </w:r>
      <w:r w:rsidR="00E9611A">
        <w:rPr>
          <w:rStyle w:val="FontStyle15"/>
        </w:rPr>
        <w:t>л</w:t>
      </w:r>
      <w:r w:rsidR="00EE22A4">
        <w:rPr>
          <w:rStyle w:val="FontStyle15"/>
        </w:rPr>
        <w:t>я</w:t>
      </w:r>
      <w:r w:rsidR="00602083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E9611A">
        <w:rPr>
          <w:rStyle w:val="FontStyle15"/>
        </w:rPr>
        <w:t>3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BF00F3" w:rsidRDefault="00C46022" w:rsidP="00BF00F3">
      <w:pPr>
        <w:pStyle w:val="a3"/>
        <w:numPr>
          <w:ilvl w:val="0"/>
          <w:numId w:val="6"/>
        </w:numPr>
        <w:shd w:val="clear" w:color="auto" w:fill="FFFFFF"/>
        <w:ind w:left="0" w:right="43" w:firstLine="709"/>
        <w:jc w:val="both"/>
        <w:rPr>
          <w:rStyle w:val="FontStyle15"/>
        </w:rPr>
      </w:pPr>
      <w:r>
        <w:rPr>
          <w:rStyle w:val="FontStyle15"/>
        </w:rPr>
        <w:t>Наименование имущества и его характеристика:</w:t>
      </w:r>
      <w:r w:rsidR="00A81BC6" w:rsidRPr="00EE22A4">
        <w:rPr>
          <w:rStyle w:val="FontStyle15"/>
        </w:rPr>
        <w:t xml:space="preserve"> </w:t>
      </w:r>
      <w:r w:rsidR="00BF00F3" w:rsidRPr="00BF00F3">
        <w:rPr>
          <w:rStyle w:val="FontStyle15"/>
        </w:rPr>
        <w:t>здание конторы, кадастровый номер 35:08:0302013:376, назначение: нежилое, общей площадью 110,4 кв.м.,1962 года постройки,  с земельным участком, кадастровый номер 35:08:0302013:97, общей площадью 800 кв.м., категория земель – земли населенных пунктов, вид разрешенного использования: для производственных нужд, расположенные по адресу: Российская Федерация, Вологодская область, Тарногский район, поселок Айга, улица Центральная, дом 21  (далее – имущество)</w:t>
      </w:r>
      <w:r w:rsidR="00BF00F3">
        <w:rPr>
          <w:rStyle w:val="FontStyle15"/>
        </w:rPr>
        <w:t>.</w:t>
      </w:r>
    </w:p>
    <w:p w:rsidR="00C46022" w:rsidRDefault="00C46022" w:rsidP="00BF00F3">
      <w:pPr>
        <w:pStyle w:val="a3"/>
        <w:numPr>
          <w:ilvl w:val="0"/>
          <w:numId w:val="6"/>
        </w:numPr>
        <w:shd w:val="clear" w:color="auto" w:fill="FFFFFF"/>
        <w:ind w:left="0" w:right="43" w:firstLine="709"/>
        <w:jc w:val="both"/>
        <w:rPr>
          <w:rStyle w:val="FontStyle15"/>
        </w:rPr>
      </w:pPr>
      <w:r>
        <w:rPr>
          <w:rStyle w:val="FontStyle15"/>
        </w:rPr>
        <w:t xml:space="preserve">Информация о предыдущих торгах по продаже имущества: </w:t>
      </w:r>
      <w:r w:rsidR="0019785C">
        <w:rPr>
          <w:rStyle w:val="FontStyle15"/>
        </w:rPr>
        <w:t>торги не проводились</w:t>
      </w:r>
      <w:r>
        <w:rPr>
          <w:rStyle w:val="FontStyle15"/>
        </w:rPr>
        <w:t>.</w:t>
      </w:r>
    </w:p>
    <w:p w:rsidR="00C46022" w:rsidRDefault="00C46022" w:rsidP="0019785C">
      <w:pPr>
        <w:pStyle w:val="Style11"/>
        <w:widowControl/>
        <w:numPr>
          <w:ilvl w:val="0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C46022" w:rsidRDefault="006F28CB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 w:rsidRPr="006F28CB">
        <w:rPr>
          <w:rStyle w:val="FontStyle15"/>
        </w:rPr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</w:t>
      </w:r>
      <w:r w:rsidRPr="006F28CB">
        <w:rPr>
          <w:rStyle w:val="FontStyle15"/>
        </w:rPr>
        <w:lastRenderedPageBreak/>
        <w:t xml:space="preserve">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>, по рабочим дням с 09:00 до 16:00 перерыв с 13:00 до 14:00 по местному времени, на официальном сайте Администрации Тарногского муниципального района - http://tarnoga-region.ru,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1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 xml:space="preserve"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площадки, а также указать назначение платежа: «участие в аукционе в отношении </w:t>
      </w:r>
      <w:r w:rsidR="00A0097D">
        <w:rPr>
          <w:rStyle w:val="FontStyle15"/>
        </w:rPr>
        <w:t>здания с земельным участком</w:t>
      </w:r>
      <w:r w:rsidR="006F28CB">
        <w:rPr>
          <w:rStyle w:val="FontStyle15"/>
        </w:rPr>
        <w:t>».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>
      <w:pPr>
        <w:pStyle w:val="Style3"/>
        <w:widowControl/>
        <w:spacing w:before="34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7D57F8">
        <w:rPr>
          <w:rStyle w:val="FontStyle15"/>
        </w:rPr>
        <w:t xml:space="preserve">временно с заявкой на участие в </w:t>
      </w:r>
      <w:r>
        <w:rPr>
          <w:rStyle w:val="FontStyle15"/>
        </w:rPr>
        <w:t>аукционе (Приложение) претенденты представляют электронные</w:t>
      </w:r>
    </w:p>
    <w:p w:rsidR="00C46022" w:rsidRDefault="00C46022">
      <w:pPr>
        <w:pStyle w:val="Style7"/>
        <w:widowControl/>
        <w:spacing w:before="53" w:line="274" w:lineRule="exact"/>
        <w:rPr>
          <w:rStyle w:val="FontStyle15"/>
        </w:rPr>
      </w:pP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 xml:space="preserve"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</w:t>
      </w:r>
      <w:r>
        <w:rPr>
          <w:rStyle w:val="FontStyle15"/>
        </w:rPr>
        <w:lastRenderedPageBreak/>
        <w:t>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>9. Определение участников аукциона.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>следующих предложений об увеличенной на "шаг аукциона" 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Протокол об итогах аукциона в электронной форме является документом, удостоверяющим право победителя на заключение договора купли-продажи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lastRenderedPageBreak/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принято решение о признании только одного претендента участником;</w:t>
      </w:r>
    </w:p>
    <w:p w:rsidR="00C46022" w:rsidRDefault="00C46022">
      <w:pPr>
        <w:pStyle w:val="Style11"/>
        <w:widowControl/>
        <w:tabs>
          <w:tab w:val="left" w:pos="97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ни один из участников не сделал предложение о начальной цене государственного</w:t>
      </w:r>
      <w:r>
        <w:rPr>
          <w:rStyle w:val="FontStyle15"/>
        </w:rPr>
        <w:br/>
        <w:t>имущества.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При уклонении или отказе победителя продажи имущества от заключения в указанный срок договора купли-продажи, задаток ему не возвращается, а победитель утрачивает право на заключение указанного договора купли-продажи. Результаты продажи аннулируются Продавцом.</w:t>
      </w:r>
    </w:p>
    <w:p w:rsidR="00104B45" w:rsidRPr="00EE0B1A" w:rsidRDefault="00C46022" w:rsidP="00104B45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</w:t>
      </w:r>
      <w:r w:rsidR="00104B45">
        <w:rPr>
          <w:rStyle w:val="FontStyle15"/>
        </w:rPr>
        <w:t xml:space="preserve">округа Вологодской области </w:t>
      </w:r>
      <w:r w:rsidR="00104B45" w:rsidRPr="00EE0B1A">
        <w:rPr>
          <w:rStyle w:val="FontStyle15"/>
        </w:rPr>
        <w:t xml:space="preserve"> 152.30.104.1) ИНН 3525015806, КПП 352501001, счет банка получателя  40102810445370000022, БИК 011909101, счет получателя 03232643196420003000 в Отделение Вологда Банка России//УФК по Вологодской области г. Вологда.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1</w:t>
      </w:r>
      <w:r>
        <w:rPr>
          <w:rStyle w:val="FontStyle15"/>
        </w:rPr>
        <w:t>: Формы описи и заявки на участие в аукционе.</w:t>
      </w:r>
    </w:p>
    <w:p w:rsidR="007D57F8" w:rsidRDefault="007D57F8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 2: Проект Договора купли-продажи</w:t>
      </w:r>
      <w:r w:rsidR="00646096">
        <w:rPr>
          <w:rStyle w:val="FontStyle15"/>
        </w:rPr>
        <w:t>.</w:t>
      </w:r>
    </w:p>
    <w:sectPr w:rsidR="007D57F8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21F" w:rsidRDefault="00DB121F">
      <w:r>
        <w:separator/>
      </w:r>
    </w:p>
  </w:endnote>
  <w:endnote w:type="continuationSeparator" w:id="1">
    <w:p w:rsidR="00DB121F" w:rsidRDefault="00DB1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21F" w:rsidRDefault="00DB121F">
      <w:r>
        <w:separator/>
      </w:r>
    </w:p>
  </w:footnote>
  <w:footnote w:type="continuationSeparator" w:id="1">
    <w:p w:rsidR="00DB121F" w:rsidRDefault="00DB1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7C180D66"/>
    <w:lvl w:ilvl="0">
      <w:start w:val="6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4678BB"/>
    <w:multiLevelType w:val="singleLevel"/>
    <w:tmpl w:val="F0022C4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56E81"/>
    <w:rsid w:val="00075656"/>
    <w:rsid w:val="00075CF7"/>
    <w:rsid w:val="00076116"/>
    <w:rsid w:val="000D52B4"/>
    <w:rsid w:val="000D6758"/>
    <w:rsid w:val="00104B45"/>
    <w:rsid w:val="00127D9A"/>
    <w:rsid w:val="00132350"/>
    <w:rsid w:val="00132656"/>
    <w:rsid w:val="00145123"/>
    <w:rsid w:val="0016627A"/>
    <w:rsid w:val="0019785C"/>
    <w:rsid w:val="00207AC8"/>
    <w:rsid w:val="00264B2C"/>
    <w:rsid w:val="002D239A"/>
    <w:rsid w:val="002E7842"/>
    <w:rsid w:val="002F56DD"/>
    <w:rsid w:val="00307974"/>
    <w:rsid w:val="00350467"/>
    <w:rsid w:val="00360DF7"/>
    <w:rsid w:val="003A1E4A"/>
    <w:rsid w:val="003C3990"/>
    <w:rsid w:val="00403694"/>
    <w:rsid w:val="00412FDA"/>
    <w:rsid w:val="004373AB"/>
    <w:rsid w:val="00441B51"/>
    <w:rsid w:val="0047333C"/>
    <w:rsid w:val="00502A7D"/>
    <w:rsid w:val="00517E1E"/>
    <w:rsid w:val="005406E7"/>
    <w:rsid w:val="00596876"/>
    <w:rsid w:val="00602083"/>
    <w:rsid w:val="00646096"/>
    <w:rsid w:val="00666FD3"/>
    <w:rsid w:val="00683C1B"/>
    <w:rsid w:val="006C02AB"/>
    <w:rsid w:val="006D0BF3"/>
    <w:rsid w:val="006E63D7"/>
    <w:rsid w:val="006F28CB"/>
    <w:rsid w:val="00753BA2"/>
    <w:rsid w:val="00753BB4"/>
    <w:rsid w:val="007643F8"/>
    <w:rsid w:val="007657FE"/>
    <w:rsid w:val="00767202"/>
    <w:rsid w:val="0078264C"/>
    <w:rsid w:val="007D57F8"/>
    <w:rsid w:val="008314C2"/>
    <w:rsid w:val="00855767"/>
    <w:rsid w:val="0088218A"/>
    <w:rsid w:val="008979E3"/>
    <w:rsid w:val="008A57DC"/>
    <w:rsid w:val="008F4A82"/>
    <w:rsid w:val="00905B3F"/>
    <w:rsid w:val="009B04AE"/>
    <w:rsid w:val="009D3171"/>
    <w:rsid w:val="00A0097D"/>
    <w:rsid w:val="00A24F37"/>
    <w:rsid w:val="00A34E44"/>
    <w:rsid w:val="00A5539C"/>
    <w:rsid w:val="00A73563"/>
    <w:rsid w:val="00A81BC6"/>
    <w:rsid w:val="00A86066"/>
    <w:rsid w:val="00A91B45"/>
    <w:rsid w:val="00AA2C1E"/>
    <w:rsid w:val="00AB0E8A"/>
    <w:rsid w:val="00AD4235"/>
    <w:rsid w:val="00B05080"/>
    <w:rsid w:val="00B21095"/>
    <w:rsid w:val="00B274C4"/>
    <w:rsid w:val="00B76228"/>
    <w:rsid w:val="00BB5395"/>
    <w:rsid w:val="00BB68FF"/>
    <w:rsid w:val="00BF00F3"/>
    <w:rsid w:val="00C0463C"/>
    <w:rsid w:val="00C049B8"/>
    <w:rsid w:val="00C40259"/>
    <w:rsid w:val="00C46022"/>
    <w:rsid w:val="00C4660A"/>
    <w:rsid w:val="00CA1F66"/>
    <w:rsid w:val="00CF698E"/>
    <w:rsid w:val="00D1138B"/>
    <w:rsid w:val="00D27EE4"/>
    <w:rsid w:val="00D43F3B"/>
    <w:rsid w:val="00D731CE"/>
    <w:rsid w:val="00DB121F"/>
    <w:rsid w:val="00DD0591"/>
    <w:rsid w:val="00E9611A"/>
    <w:rsid w:val="00EA523B"/>
    <w:rsid w:val="00EE22A4"/>
    <w:rsid w:val="00EE43C1"/>
    <w:rsid w:val="00F13562"/>
    <w:rsid w:val="00F65B3E"/>
    <w:rsid w:val="00F72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4509</Words>
  <Characters>25702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30151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3</cp:revision>
  <cp:lastPrinted>2019-11-15T05:47:00Z</cp:lastPrinted>
  <dcterms:created xsi:type="dcterms:W3CDTF">2023-06-23T06:13:00Z</dcterms:created>
  <dcterms:modified xsi:type="dcterms:W3CDTF">2023-06-26T06:00:00Z</dcterms:modified>
</cp:coreProperties>
</file>