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0333EC" w:rsidTr="00C93421">
        <w:tc>
          <w:tcPr>
            <w:tcW w:w="5070" w:type="dxa"/>
          </w:tcPr>
          <w:p w:rsidR="000333EC" w:rsidRDefault="000333EC" w:rsidP="00C9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0333EC" w:rsidRPr="00BB1CDF" w:rsidRDefault="000333EC" w:rsidP="00C93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0333EC" w:rsidRDefault="000333EC" w:rsidP="00C93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округа 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10.02.2023 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118</w:t>
            </w:r>
          </w:p>
          <w:p w:rsidR="000333EC" w:rsidRDefault="000333EC" w:rsidP="00C9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3EC" w:rsidRDefault="000333EC" w:rsidP="00C93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CDF" w:rsidRPr="00862D5F" w:rsidRDefault="00BB1CDF" w:rsidP="00862D5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О КОМИССИИ ПО ОЦЕНКЕ ЭФФЕКТИВНОСТИ ДЕЯТЕЛЬНОСТИ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КАЗЕННЫХ (</w:t>
      </w:r>
      <w:r w:rsidRPr="00862D5F">
        <w:rPr>
          <w:rFonts w:ascii="Times New Roman" w:hAnsi="Times New Roman" w:cs="Times New Roman"/>
          <w:b/>
          <w:bCs/>
          <w:sz w:val="28"/>
          <w:szCs w:val="28"/>
        </w:rPr>
        <w:t>УНИТАРНЫХ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862D5F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ПРЕДПРИЯТИЙ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62D5F" w:rsidRPr="00764CA2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1.1. Комиссия по оценке эффективности деятельности </w:t>
      </w:r>
      <w:r w:rsidR="000333EC">
        <w:rPr>
          <w:rFonts w:ascii="Times New Roman" w:hAnsi="Times New Roman" w:cs="Times New Roman"/>
          <w:sz w:val="28"/>
          <w:szCs w:val="28"/>
        </w:rPr>
        <w:t>муниципальных казенных (унитарных) п</w:t>
      </w:r>
      <w:r w:rsidRPr="00862D5F">
        <w:rPr>
          <w:rFonts w:ascii="Times New Roman" w:hAnsi="Times New Roman" w:cs="Times New Roman"/>
          <w:sz w:val="28"/>
          <w:szCs w:val="28"/>
        </w:rPr>
        <w:t xml:space="preserve">редприятий (далее - Комиссия) создается для проведения анализа эффективности, подведения итогов финансово-хозяйственной деятельности муниципальных </w:t>
      </w:r>
      <w:r>
        <w:rPr>
          <w:rFonts w:ascii="Times New Roman" w:hAnsi="Times New Roman" w:cs="Times New Roman"/>
          <w:sz w:val="28"/>
          <w:szCs w:val="28"/>
        </w:rPr>
        <w:t>казенных  (</w:t>
      </w:r>
      <w:r w:rsidRPr="00862D5F">
        <w:rPr>
          <w:rFonts w:ascii="Times New Roman" w:hAnsi="Times New Roman" w:cs="Times New Roman"/>
          <w:sz w:val="28"/>
          <w:szCs w:val="28"/>
        </w:rPr>
        <w:t>унитарных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62D5F">
        <w:rPr>
          <w:rFonts w:ascii="Times New Roman" w:hAnsi="Times New Roman" w:cs="Times New Roman"/>
          <w:sz w:val="28"/>
          <w:szCs w:val="28"/>
        </w:rPr>
        <w:t xml:space="preserve"> предприятий (далее - Предприятия) за отчетный год и обеспечения принятия экономически обоснованных решений в области управления Предприятиями.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Конституцией Российской Федерации, федеральными и областными законодательными актами, решениями органов местного самоуправления </w:t>
      </w:r>
      <w:r w:rsidR="006A659C">
        <w:rPr>
          <w:rFonts w:ascii="Times New Roman" w:hAnsi="Times New Roman" w:cs="Times New Roman"/>
          <w:sz w:val="28"/>
          <w:szCs w:val="28"/>
        </w:rPr>
        <w:t>Тарногского муниципального округа</w:t>
      </w:r>
      <w:r w:rsidRPr="00862D5F">
        <w:rPr>
          <w:rFonts w:ascii="Times New Roman" w:hAnsi="Times New Roman" w:cs="Times New Roman"/>
          <w:sz w:val="28"/>
          <w:szCs w:val="28"/>
        </w:rPr>
        <w:t>, иными нормативными правовыми актами и настоящим Положением.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2. Задачи Комиссии</w:t>
      </w:r>
    </w:p>
    <w:p w:rsidR="00862D5F" w:rsidRPr="00764CA2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862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2D5F">
        <w:rPr>
          <w:rFonts w:ascii="Times New Roman" w:hAnsi="Times New Roman" w:cs="Times New Roman"/>
          <w:sz w:val="28"/>
          <w:szCs w:val="28"/>
        </w:rPr>
        <w:t xml:space="preserve"> состоянием основных фондов, сохранностью муниципального имущества, переданного Предприятиям на праве хозяйственного ведения, регулирование деятельности Предприятий по вопросам эффективного управления и распоряжения муниципальным имуществом.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2.2. Содействие мобилизации доходов с целью получения прибыли как части неналоговых доходов муниципального бюджета.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3. Полномочия Комиссии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Основные полномочия Комиссии: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3.1. Оценивать результаты финансово-хозяйственной деятельности Предприятий (в том числе по итогам проверок (ревизий), проводимых по </w:t>
      </w:r>
      <w:r w:rsidRPr="00862D5F">
        <w:rPr>
          <w:rFonts w:ascii="Times New Roman" w:hAnsi="Times New Roman" w:cs="Times New Roman"/>
          <w:sz w:val="28"/>
          <w:szCs w:val="28"/>
        </w:rPr>
        <w:lastRenderedPageBreak/>
        <w:t>решениям Комиссии, а также независимыми уполномоченными аудиторскими фирмами и организациями, имеющими на это право).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3.2. Рассматривать аналитические отчеты органов Администрации города Вологды, в подведомственности которых находятся Предприятия (далее - Уполномоченные органы), по оценке деятельности Предприятий, принимать решения об эффективности или неэффективности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659C">
        <w:rPr>
          <w:rFonts w:ascii="Times New Roman" w:hAnsi="Times New Roman" w:cs="Times New Roman"/>
          <w:sz w:val="28"/>
          <w:szCs w:val="28"/>
        </w:rPr>
        <w:t>3.3</w:t>
      </w:r>
      <w:r w:rsidRPr="00862D5F">
        <w:rPr>
          <w:rFonts w:ascii="Times New Roman" w:hAnsi="Times New Roman" w:cs="Times New Roman"/>
          <w:sz w:val="28"/>
          <w:szCs w:val="28"/>
        </w:rPr>
        <w:t>. Осуществлять контроль наличия и движения имущества, использования трудовых и финансовых ресурсов.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659C">
        <w:rPr>
          <w:rFonts w:ascii="Times New Roman" w:hAnsi="Times New Roman" w:cs="Times New Roman"/>
          <w:sz w:val="28"/>
          <w:szCs w:val="28"/>
        </w:rPr>
        <w:t>3.4</w:t>
      </w:r>
      <w:r w:rsidRPr="00862D5F">
        <w:rPr>
          <w:rFonts w:ascii="Times New Roman" w:hAnsi="Times New Roman" w:cs="Times New Roman"/>
          <w:sz w:val="28"/>
          <w:szCs w:val="28"/>
        </w:rPr>
        <w:t>. Оценивать результаты работы руководителей Предприятий, а также эффективность использования и воспроизводства муниципального имущества, давать предложения о привлечении к ответственности руководителей Предприятий за выявленные нарушения.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659C">
        <w:rPr>
          <w:rFonts w:ascii="Times New Roman" w:hAnsi="Times New Roman" w:cs="Times New Roman"/>
          <w:sz w:val="28"/>
          <w:szCs w:val="28"/>
        </w:rPr>
        <w:t>3.5</w:t>
      </w:r>
      <w:r w:rsidRPr="00862D5F">
        <w:rPr>
          <w:rFonts w:ascii="Times New Roman" w:hAnsi="Times New Roman" w:cs="Times New Roman"/>
          <w:sz w:val="28"/>
          <w:szCs w:val="28"/>
        </w:rPr>
        <w:t>. Разрабатывать рекомендации о ликвидации, реорганизации, приватизации, перепрофилировании Предприятий, о сдаче их неиспользуемого имущества в аренду, сдаче имущества Предприятий в концессию, иных мерах по повышению эффективности деятельности Предприятий.</w:t>
      </w:r>
    </w:p>
    <w:p w:rsidR="00862D5F" w:rsidRPr="00862D5F" w:rsidRDefault="00B01674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62D5F" w:rsidRPr="006A659C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="00862D5F" w:rsidRPr="00862D5F">
        <w:rPr>
          <w:rFonts w:ascii="Times New Roman" w:hAnsi="Times New Roman" w:cs="Times New Roman"/>
          <w:sz w:val="28"/>
          <w:szCs w:val="28"/>
        </w:rPr>
        <w:t xml:space="preserve">. Разрабатывать предложения по установлению процентов отчислений от прибыли, остающейся в распоряжении Предприятия после уплаты налогов и иных обязательных платежей, в бюджет </w:t>
      </w:r>
      <w:r w:rsidR="00862D5F">
        <w:rPr>
          <w:rFonts w:ascii="Times New Roman" w:hAnsi="Times New Roman" w:cs="Times New Roman"/>
          <w:sz w:val="28"/>
          <w:szCs w:val="28"/>
        </w:rPr>
        <w:t>Тарногского муниципального округа Вологодской области</w:t>
      </w:r>
      <w:r w:rsidR="00862D5F" w:rsidRPr="00862D5F">
        <w:rPr>
          <w:rFonts w:ascii="Times New Roman" w:hAnsi="Times New Roman" w:cs="Times New Roman"/>
          <w:sz w:val="28"/>
          <w:szCs w:val="28"/>
        </w:rPr>
        <w:t xml:space="preserve"> на планируемый год и его корректировке по результатам деятельности за год.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4. Функции Комиссии</w:t>
      </w:r>
    </w:p>
    <w:p w:rsidR="00862D5F" w:rsidRPr="00764CA2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Комиссия выполняет следующие функции: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4.1. Рассматривает предложения по проектам планов финансово-хозяйственной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4.2. Рассматривает предложения по показателям эффективности финансово-хозяйственной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4.3. Принимает решение об утверждении планов финансово-хозяйственной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4.4. Рассматривает предложения по результатам анализа выполнения планов финансово-хозяйственной деятельности Предприятий, отчеты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62D5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2D5F">
        <w:rPr>
          <w:rFonts w:ascii="Times New Roman" w:hAnsi="Times New Roman" w:cs="Times New Roman"/>
          <w:sz w:val="28"/>
          <w:szCs w:val="28"/>
        </w:rPr>
        <w:t xml:space="preserve"> о результатах оценки эффективности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lastRenderedPageBreak/>
        <w:t>4.5. Рассматривает текущие отчеты о выполнении планов финансово-хозяйственной деятельности Предприятий, а также предложения по их корректировке.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4.6. Принимает решение об утверждении отчетов о выполнении планов финансово-хозяйственной деятельности Предприятий за год.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4.7. Принимает решения о проведении проверок финансово-хозяйственной деятельности Предприятий.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659C">
        <w:rPr>
          <w:rFonts w:ascii="Times New Roman" w:hAnsi="Times New Roman" w:cs="Times New Roman"/>
          <w:sz w:val="28"/>
          <w:szCs w:val="28"/>
        </w:rPr>
        <w:t>4.8</w:t>
      </w:r>
      <w:r w:rsidRPr="00862D5F">
        <w:rPr>
          <w:rFonts w:ascii="Times New Roman" w:hAnsi="Times New Roman" w:cs="Times New Roman"/>
          <w:sz w:val="28"/>
          <w:szCs w:val="28"/>
        </w:rPr>
        <w:t>. Рассматривает отчеты руководителей по выполнению показателей премирования по итогам работы за отчетный период (квартал, год) и принимает решение о согласовании размера ежеквартальной премии руководителю Предприятия. Принятое решение фиксируется в протоколе секретарем Комиссии.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5. Состав Комиссии</w:t>
      </w:r>
    </w:p>
    <w:p w:rsidR="00862D5F" w:rsidRPr="00764CA2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5.1. Комиссия имеет основной и дополнительный составы. Основной состав утверждается муниципальным правовым актом.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Дополнительный состав формируется из представителей </w:t>
      </w:r>
      <w:r>
        <w:rPr>
          <w:rFonts w:ascii="Times New Roman" w:hAnsi="Times New Roman" w:cs="Times New Roman"/>
          <w:sz w:val="28"/>
          <w:szCs w:val="28"/>
        </w:rPr>
        <w:t>администрации Тарногского муниципального округа Вологодской области, финансового управления администрации Тарногского муниципального округа Вологодской области</w:t>
      </w:r>
      <w:r w:rsidRPr="00862D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области,</w:t>
      </w:r>
      <w:r w:rsidRPr="00862D5F"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="00EC42D7">
        <w:rPr>
          <w:rFonts w:ascii="Times New Roman" w:hAnsi="Times New Roman" w:cs="Times New Roman"/>
          <w:sz w:val="28"/>
          <w:szCs w:val="28"/>
        </w:rPr>
        <w:t>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округа</w:t>
      </w:r>
      <w:r w:rsidR="00EC42D7">
        <w:rPr>
          <w:rFonts w:ascii="Times New Roman" w:hAnsi="Times New Roman" w:cs="Times New Roman"/>
          <w:sz w:val="28"/>
          <w:szCs w:val="28"/>
        </w:rPr>
        <w:t>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Члены основного и дополнительного составов Комиссии принимают личное участие в заседаниях Комиссии. При невозможности личного участия члена </w:t>
      </w:r>
      <w:proofErr w:type="gramStart"/>
      <w:r w:rsidRPr="00862D5F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862D5F">
        <w:rPr>
          <w:rFonts w:ascii="Times New Roman" w:hAnsi="Times New Roman" w:cs="Times New Roman"/>
          <w:sz w:val="28"/>
          <w:szCs w:val="28"/>
        </w:rPr>
        <w:t xml:space="preserve"> как основного, так и дополнительного состава руководитель соответствующего органа направляет взамен отсутствующего члена Комиссии иных специалистов для участия в заседании Комиссии со всеми предоставленными ему правами, в том числе правом голосования по рассматриваемым вопросам.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5.2. На заседание Комиссии приглашаются: руководитель (или исполняющий обязанности руководителя) и главный бухгалтер, или исполняющий обязанности главного бухгалтера) Предприятия.</w:t>
      </w: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862D5F" w:rsidRDefault="00862D5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5F">
        <w:rPr>
          <w:rFonts w:ascii="Times New Roman" w:hAnsi="Times New Roman" w:cs="Times New Roman"/>
          <w:b/>
          <w:bCs/>
          <w:sz w:val="28"/>
          <w:szCs w:val="28"/>
        </w:rPr>
        <w:t>6. Организация работы Комиссии</w:t>
      </w:r>
    </w:p>
    <w:p w:rsidR="00862D5F" w:rsidRPr="00EC42D7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6.1. Организация работы Комиссии возлагается на председателя Комиссии, который: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Комиссии;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lastRenderedPageBreak/>
        <w:t>контролирует подготовку материалов и документов к заседаниям Комиссии;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ведет заседания Комиссии;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утверждает протокол заседания Комиссии;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862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2D5F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Комиссии.</w:t>
      </w:r>
    </w:p>
    <w:p w:rsidR="00862D5F" w:rsidRPr="00862D5F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D5F">
        <w:rPr>
          <w:rFonts w:ascii="Times New Roman" w:hAnsi="Times New Roman" w:cs="Times New Roman"/>
          <w:sz w:val="28"/>
          <w:szCs w:val="28"/>
        </w:rPr>
        <w:t>6.2. Заместитель председателя Комиссии выполняет функции председателя Комиссии в его отсутствие.</w:t>
      </w:r>
    </w:p>
    <w:p w:rsidR="00862D5F" w:rsidRPr="0053348A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48A">
        <w:rPr>
          <w:rFonts w:ascii="Times New Roman" w:hAnsi="Times New Roman" w:cs="Times New Roman"/>
          <w:sz w:val="28"/>
          <w:szCs w:val="28"/>
        </w:rPr>
        <w:t>6.3. Заседания Комиссии проводятся согласно утвержденному графику. Уполномоченный орган ежегодно до 1 апреля составляет сводный график проведения заседаний Комиссии по итогам работы за год, предварительно согласовав его с Управлением. Сводный график проведения заседаний Комиссии утверждается не позднее 10 апреля. В текущем периоде внеплановые заседания Комиссии могут созываться председателем по мере необходимости.</w:t>
      </w:r>
    </w:p>
    <w:p w:rsidR="00862D5F" w:rsidRPr="0053348A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48A">
        <w:rPr>
          <w:rFonts w:ascii="Times New Roman" w:hAnsi="Times New Roman" w:cs="Times New Roman"/>
          <w:sz w:val="28"/>
          <w:szCs w:val="28"/>
        </w:rPr>
        <w:t>6.4. Заседание Комиссии правомочно, если на нем присутствуют не менее двух третей членов основного и дополнительного составов Комиссии. Решения Комиссии принимаются простым большинством голосов. При равенстве голосов членов Комиссии решающим является голос председательствующего на заседании Комиссии.</w:t>
      </w:r>
    </w:p>
    <w:p w:rsidR="00862D5F" w:rsidRPr="0053348A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48A">
        <w:rPr>
          <w:rFonts w:ascii="Times New Roman" w:hAnsi="Times New Roman" w:cs="Times New Roman"/>
          <w:sz w:val="28"/>
          <w:szCs w:val="28"/>
        </w:rPr>
        <w:t>6.5. Результаты работы Комиссий оформляются протоколом. Протокол заседания Комиссии утверждается председателем Комиссии или в его отсутствие заместителем. В течение 10 дней секретарь Комиссии готовит выписки из протокола заседания Комиссии и направляет руководителям Предприятий, по которым принято решение.</w:t>
      </w:r>
    </w:p>
    <w:p w:rsidR="00862D5F" w:rsidRPr="0053348A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48A">
        <w:rPr>
          <w:rFonts w:ascii="Times New Roman" w:hAnsi="Times New Roman" w:cs="Times New Roman"/>
          <w:sz w:val="28"/>
          <w:szCs w:val="28"/>
        </w:rPr>
        <w:t xml:space="preserve">6.6. Требования Комиссии в части сроков, объемов, порядка оформления и представления необходимых документов и сведений являются обязательными для всех органов </w:t>
      </w:r>
      <w:r w:rsidR="0053348A" w:rsidRPr="0053348A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53348A">
        <w:rPr>
          <w:rFonts w:ascii="Times New Roman" w:hAnsi="Times New Roman" w:cs="Times New Roman"/>
          <w:sz w:val="28"/>
          <w:szCs w:val="28"/>
        </w:rPr>
        <w:t xml:space="preserve"> и Предприятий.</w:t>
      </w:r>
    </w:p>
    <w:p w:rsidR="00862D5F" w:rsidRPr="0053348A" w:rsidRDefault="00862D5F" w:rsidP="00764CA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48A">
        <w:rPr>
          <w:rFonts w:ascii="Times New Roman" w:hAnsi="Times New Roman" w:cs="Times New Roman"/>
          <w:sz w:val="28"/>
          <w:szCs w:val="28"/>
        </w:rPr>
        <w:t xml:space="preserve">6.7. Организационно-техническое обеспечение Комиссии возлагается на </w:t>
      </w:r>
      <w:r w:rsidR="0053348A" w:rsidRPr="0053348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53348A">
        <w:rPr>
          <w:rFonts w:ascii="Times New Roman" w:hAnsi="Times New Roman" w:cs="Times New Roman"/>
          <w:sz w:val="28"/>
          <w:szCs w:val="28"/>
        </w:rPr>
        <w:t>.</w:t>
      </w:r>
    </w:p>
    <w:p w:rsidR="00862D5F" w:rsidRPr="0053348A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53348A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53348A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D5F" w:rsidRPr="0053348A" w:rsidRDefault="00862D5F" w:rsidP="00862D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CDF" w:rsidRPr="00862D5F" w:rsidRDefault="00BB1CDF" w:rsidP="00862D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B1CDF" w:rsidRPr="00862D5F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CDF"/>
    <w:rsid w:val="000333EC"/>
    <w:rsid w:val="00080DAD"/>
    <w:rsid w:val="0053348A"/>
    <w:rsid w:val="006A659C"/>
    <w:rsid w:val="00764CA2"/>
    <w:rsid w:val="007E090C"/>
    <w:rsid w:val="00862D5F"/>
    <w:rsid w:val="00A17968"/>
    <w:rsid w:val="00B01570"/>
    <w:rsid w:val="00B01674"/>
    <w:rsid w:val="00BB1CDF"/>
    <w:rsid w:val="00BC17AF"/>
    <w:rsid w:val="00C75A78"/>
    <w:rsid w:val="00E55A33"/>
    <w:rsid w:val="00EC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C730F47CB9A9D1F356EEEBF1C4B4FC146AE658EF67BF4BDA122D24E1D9CCB167F4B569662C3DC8960C7C9D3119985945BCE2A7C5822A0801262AB52v3AFO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Zverdvd.org</cp:lastModifiedBy>
  <cp:revision>8</cp:revision>
  <dcterms:created xsi:type="dcterms:W3CDTF">2023-01-19T12:55:00Z</dcterms:created>
  <dcterms:modified xsi:type="dcterms:W3CDTF">2023-02-13T16:57:00Z</dcterms:modified>
</cp:coreProperties>
</file>