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697" w:rsidRPr="00AA6697" w:rsidRDefault="00AA6697" w:rsidP="00AA6697">
      <w:pPr>
        <w:jc w:val="center"/>
        <w:rPr>
          <w:rFonts w:ascii="Times New Roman" w:eastAsia="Times New Roman" w:hAnsi="Times New Roman" w:cs="Times New Roman"/>
          <w:color w:val="000000"/>
          <w:sz w:val="24"/>
          <w:szCs w:val="24"/>
          <w:lang w:eastAsia="ru-RU"/>
        </w:rPr>
      </w:pPr>
    </w:p>
    <w:p w:rsidR="00AA6697" w:rsidRPr="00AA6697" w:rsidRDefault="00AA6697" w:rsidP="00AA6697">
      <w:pPr>
        <w:jc w:val="center"/>
        <w:rPr>
          <w:rFonts w:ascii="Times New Roman" w:eastAsia="Times New Roman" w:hAnsi="Times New Roman" w:cs="Times New Roman"/>
          <w:color w:val="000000"/>
          <w:sz w:val="24"/>
          <w:szCs w:val="24"/>
          <w:lang w:eastAsia="ru-RU"/>
        </w:rPr>
      </w:pPr>
    </w:p>
    <w:p w:rsidR="00AA6697" w:rsidRPr="00AA6697" w:rsidRDefault="00AA6697" w:rsidP="00AA6697">
      <w:pPr>
        <w:jc w:val="center"/>
        <w:rPr>
          <w:rFonts w:ascii="Times New Roman" w:eastAsia="Times New Roman" w:hAnsi="Times New Roman" w:cs="Times New Roman"/>
          <w:color w:val="000000"/>
          <w:sz w:val="24"/>
          <w:szCs w:val="24"/>
          <w:lang w:eastAsia="ru-RU"/>
        </w:rPr>
      </w:pPr>
    </w:p>
    <w:p w:rsidR="00AA6697" w:rsidRPr="00AA6697" w:rsidRDefault="00AA6697" w:rsidP="00AA6697">
      <w:pPr>
        <w:ind w:right="-289"/>
        <w:jc w:val="center"/>
        <w:outlineLvl w:val="0"/>
        <w:rPr>
          <w:rFonts w:ascii="Times New Roman" w:eastAsia="Times New Roman" w:hAnsi="Times New Roman" w:cs="Times New Roman"/>
          <w:b/>
          <w:color w:val="000000"/>
          <w:sz w:val="28"/>
          <w:szCs w:val="28"/>
          <w:lang w:eastAsia="ru-RU"/>
        </w:rPr>
      </w:pPr>
      <w:r w:rsidRPr="00AA6697">
        <w:rPr>
          <w:rFonts w:ascii="Times New Roman" w:eastAsia="Times New Roman" w:hAnsi="Times New Roman" w:cs="Times New Roman"/>
          <w:b/>
          <w:color w:val="000000"/>
          <w:sz w:val="28"/>
          <w:szCs w:val="28"/>
          <w:lang w:eastAsia="ru-RU"/>
        </w:rPr>
        <w:t xml:space="preserve">АДМИНИСТРАЦИЯ ТАРНОГСКОГО МУНИЦИПАЛЬНОГО </w:t>
      </w:r>
      <w:r w:rsidR="007A20E8">
        <w:rPr>
          <w:rFonts w:ascii="Times New Roman" w:eastAsia="Times New Roman" w:hAnsi="Times New Roman" w:cs="Times New Roman"/>
          <w:b/>
          <w:color w:val="000000"/>
          <w:sz w:val="28"/>
          <w:szCs w:val="28"/>
          <w:lang w:eastAsia="ru-RU"/>
        </w:rPr>
        <w:t>ОКРУГА</w:t>
      </w:r>
    </w:p>
    <w:p w:rsidR="00AA6697" w:rsidRPr="00AA6697" w:rsidRDefault="00AA6697" w:rsidP="00AA6697">
      <w:pPr>
        <w:jc w:val="center"/>
        <w:rPr>
          <w:rFonts w:ascii="Times New Roman" w:eastAsia="Times New Roman" w:hAnsi="Times New Roman" w:cs="Times New Roman"/>
          <w:color w:val="000000"/>
          <w:sz w:val="24"/>
          <w:szCs w:val="24"/>
          <w:lang w:eastAsia="ru-RU"/>
        </w:rPr>
      </w:pPr>
    </w:p>
    <w:p w:rsidR="00AA6697" w:rsidRPr="00AA6697" w:rsidRDefault="00AA6697" w:rsidP="00AA6697">
      <w:pPr>
        <w:jc w:val="center"/>
        <w:outlineLvl w:val="0"/>
        <w:rPr>
          <w:rFonts w:ascii="Times New Roman" w:eastAsia="Times New Roman" w:hAnsi="Times New Roman" w:cs="Times New Roman"/>
          <w:b/>
          <w:color w:val="000000"/>
          <w:sz w:val="40"/>
          <w:szCs w:val="24"/>
          <w:lang w:eastAsia="ru-RU"/>
        </w:rPr>
      </w:pPr>
      <w:r>
        <w:rPr>
          <w:rFonts w:ascii="Times New Roman" w:eastAsia="Times New Roman" w:hAnsi="Times New Roman" w:cs="Times New Roman"/>
          <w:b/>
          <w:noProof/>
          <w:color w:val="000000"/>
          <w:sz w:val="24"/>
          <w:szCs w:val="24"/>
          <w:lang w:eastAsia="ru-RU"/>
        </w:rPr>
        <w:drawing>
          <wp:anchor distT="0" distB="0" distL="114300" distR="114300" simplePos="0" relativeHeight="251659264" behindDoc="1" locked="1" layoutInCell="0" allowOverlap="1">
            <wp:simplePos x="0" y="0"/>
            <wp:positionH relativeFrom="column">
              <wp:posOffset>2514600</wp:posOffset>
            </wp:positionH>
            <wp:positionV relativeFrom="page">
              <wp:posOffset>412115</wp:posOffset>
            </wp:positionV>
            <wp:extent cx="596900" cy="723900"/>
            <wp:effectExtent l="0" t="0" r="0" b="0"/>
            <wp:wrapNone/>
            <wp:docPr id="1" name="Рисунок 1" descr="Герб района со снопом c гербом области (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айона со снопом c гербом области (схем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69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6697">
        <w:rPr>
          <w:rFonts w:ascii="Times New Roman" w:eastAsia="Times New Roman" w:hAnsi="Times New Roman" w:cs="Times New Roman"/>
          <w:b/>
          <w:color w:val="000000"/>
          <w:sz w:val="40"/>
          <w:szCs w:val="24"/>
          <w:lang w:eastAsia="ru-RU"/>
        </w:rPr>
        <w:t>ПОСТАНОВЛЕНИЕ</w:t>
      </w:r>
    </w:p>
    <w:p w:rsidR="00AA6697" w:rsidRPr="00AA6697" w:rsidRDefault="00AA6697" w:rsidP="00AA6697">
      <w:pPr>
        <w:jc w:val="center"/>
        <w:rPr>
          <w:rFonts w:ascii="Times New Roman" w:eastAsia="Times New Roman" w:hAnsi="Times New Roman" w:cs="Times New Roman"/>
          <w:color w:val="000000"/>
          <w:sz w:val="24"/>
          <w:szCs w:val="24"/>
          <w:lang w:eastAsia="ru-RU"/>
        </w:rPr>
      </w:pPr>
    </w:p>
    <w:tbl>
      <w:tblPr>
        <w:tblW w:w="0" w:type="auto"/>
        <w:tblLayout w:type="fixed"/>
        <w:tblLook w:val="01E0" w:firstRow="1" w:lastRow="1" w:firstColumn="1" w:lastColumn="1" w:noHBand="0" w:noVBand="0"/>
      </w:tblPr>
      <w:tblGrid>
        <w:gridCol w:w="588"/>
        <w:gridCol w:w="3000"/>
        <w:gridCol w:w="484"/>
        <w:gridCol w:w="3716"/>
      </w:tblGrid>
      <w:tr w:rsidR="00AA6697" w:rsidRPr="00AA6697" w:rsidTr="00C00AEB">
        <w:tc>
          <w:tcPr>
            <w:tcW w:w="588" w:type="dxa"/>
          </w:tcPr>
          <w:p w:rsidR="00AA6697" w:rsidRPr="00AA6697" w:rsidRDefault="00AA6697" w:rsidP="00AA6697">
            <w:pPr>
              <w:framePr w:hSpace="180" w:wrap="around" w:vAnchor="text" w:hAnchor="margin" w:x="828" w:y="44"/>
              <w:jc w:val="center"/>
              <w:rPr>
                <w:rFonts w:ascii="Times New Roman" w:eastAsia="Times New Roman" w:hAnsi="Times New Roman" w:cs="Times New Roman"/>
                <w:color w:val="000000"/>
                <w:sz w:val="28"/>
                <w:szCs w:val="28"/>
                <w:lang w:eastAsia="ru-RU"/>
              </w:rPr>
            </w:pPr>
            <w:r w:rsidRPr="00AA6697">
              <w:rPr>
                <w:rFonts w:ascii="Times New Roman" w:eastAsia="Times New Roman" w:hAnsi="Times New Roman" w:cs="Times New Roman"/>
                <w:color w:val="000000"/>
                <w:sz w:val="28"/>
                <w:szCs w:val="28"/>
                <w:lang w:eastAsia="ru-RU"/>
              </w:rPr>
              <w:t>От</w:t>
            </w:r>
          </w:p>
        </w:tc>
        <w:tc>
          <w:tcPr>
            <w:tcW w:w="3000" w:type="dxa"/>
            <w:tcBorders>
              <w:bottom w:val="single" w:sz="4" w:space="0" w:color="auto"/>
            </w:tcBorders>
          </w:tcPr>
          <w:p w:rsidR="00AA6697" w:rsidRPr="00AA6697" w:rsidRDefault="00B728FA" w:rsidP="00AA6697">
            <w:pPr>
              <w:framePr w:hSpace="180" w:wrap="around" w:vAnchor="text" w:hAnchor="margin" w:x="828" w:y="4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26.03.2024</w:t>
            </w:r>
          </w:p>
        </w:tc>
        <w:tc>
          <w:tcPr>
            <w:tcW w:w="484" w:type="dxa"/>
          </w:tcPr>
          <w:p w:rsidR="00AA6697" w:rsidRPr="00AA6697" w:rsidRDefault="00AA6697" w:rsidP="00AA6697">
            <w:pPr>
              <w:framePr w:hSpace="180" w:wrap="around" w:vAnchor="text" w:hAnchor="margin" w:x="828" w:y="44"/>
              <w:jc w:val="center"/>
              <w:rPr>
                <w:rFonts w:ascii="Times New Roman" w:eastAsia="Times New Roman" w:hAnsi="Times New Roman" w:cs="Times New Roman"/>
                <w:color w:val="000000"/>
                <w:sz w:val="28"/>
                <w:szCs w:val="28"/>
                <w:lang w:eastAsia="ru-RU"/>
              </w:rPr>
            </w:pPr>
            <w:r w:rsidRPr="00AA6697">
              <w:rPr>
                <w:rFonts w:ascii="Times New Roman" w:eastAsia="Times New Roman" w:hAnsi="Times New Roman" w:cs="Times New Roman"/>
                <w:color w:val="000000"/>
                <w:sz w:val="28"/>
                <w:szCs w:val="28"/>
                <w:lang w:eastAsia="ru-RU"/>
              </w:rPr>
              <w:t>№</w:t>
            </w:r>
          </w:p>
        </w:tc>
        <w:tc>
          <w:tcPr>
            <w:tcW w:w="3716" w:type="dxa"/>
            <w:tcBorders>
              <w:bottom w:val="single" w:sz="4" w:space="0" w:color="auto"/>
            </w:tcBorders>
          </w:tcPr>
          <w:p w:rsidR="00AA6697" w:rsidRPr="00AA6697" w:rsidRDefault="00B728FA" w:rsidP="00AA6697">
            <w:pPr>
              <w:framePr w:hSpace="180" w:wrap="around" w:vAnchor="text" w:hAnchor="margin" w:x="828" w:y="4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239</w:t>
            </w:r>
          </w:p>
        </w:tc>
      </w:tr>
    </w:tbl>
    <w:tbl>
      <w:tblPr>
        <w:tblW w:w="0" w:type="auto"/>
        <w:tblInd w:w="1428" w:type="dxa"/>
        <w:tblLayout w:type="fixed"/>
        <w:tblLook w:val="01E0" w:firstRow="1" w:lastRow="1" w:firstColumn="1" w:lastColumn="1" w:noHBand="0" w:noVBand="0"/>
      </w:tblPr>
      <w:tblGrid>
        <w:gridCol w:w="2791"/>
      </w:tblGrid>
      <w:tr w:rsidR="00AA6697" w:rsidRPr="00AA6697" w:rsidTr="00C00AEB">
        <w:tc>
          <w:tcPr>
            <w:tcW w:w="2791" w:type="dxa"/>
          </w:tcPr>
          <w:p w:rsidR="00AA6697" w:rsidRPr="00AA6697" w:rsidRDefault="00AA6697" w:rsidP="00AA6697">
            <w:pPr>
              <w:jc w:val="center"/>
              <w:rPr>
                <w:rFonts w:ascii="Times New Roman" w:eastAsia="Times New Roman" w:hAnsi="Times New Roman" w:cs="Times New Roman"/>
                <w:color w:val="000000"/>
                <w:sz w:val="16"/>
                <w:szCs w:val="16"/>
                <w:lang w:eastAsia="ru-RU"/>
              </w:rPr>
            </w:pPr>
          </w:p>
          <w:p w:rsidR="00AA6697" w:rsidRPr="00AA6697" w:rsidRDefault="00AA6697" w:rsidP="00AA6697">
            <w:pPr>
              <w:jc w:val="center"/>
              <w:rPr>
                <w:rFonts w:ascii="Times New Roman" w:eastAsia="Times New Roman" w:hAnsi="Times New Roman" w:cs="Times New Roman"/>
                <w:color w:val="000000"/>
                <w:sz w:val="20"/>
                <w:szCs w:val="24"/>
                <w:lang w:eastAsia="ru-RU"/>
              </w:rPr>
            </w:pPr>
            <w:r w:rsidRPr="00AA6697">
              <w:rPr>
                <w:rFonts w:ascii="Times New Roman" w:eastAsia="Times New Roman" w:hAnsi="Times New Roman" w:cs="Times New Roman"/>
                <w:color w:val="000000"/>
                <w:sz w:val="20"/>
                <w:szCs w:val="24"/>
                <w:lang w:eastAsia="ru-RU"/>
              </w:rPr>
              <w:t>с. Тарногский Городок</w:t>
            </w:r>
          </w:p>
          <w:p w:rsidR="00AA6697" w:rsidRPr="00AA6697" w:rsidRDefault="00AA6697" w:rsidP="00AA6697">
            <w:pPr>
              <w:jc w:val="center"/>
              <w:rPr>
                <w:rFonts w:ascii="Times New Roman" w:eastAsia="Times New Roman" w:hAnsi="Times New Roman" w:cs="Times New Roman"/>
                <w:color w:val="000000"/>
                <w:sz w:val="20"/>
                <w:szCs w:val="24"/>
                <w:lang w:eastAsia="ru-RU"/>
              </w:rPr>
            </w:pPr>
            <w:r w:rsidRPr="00AA6697">
              <w:rPr>
                <w:rFonts w:ascii="Times New Roman" w:eastAsia="Times New Roman" w:hAnsi="Times New Roman" w:cs="Times New Roman"/>
                <w:color w:val="000000"/>
                <w:sz w:val="20"/>
                <w:szCs w:val="24"/>
                <w:lang w:eastAsia="ru-RU"/>
              </w:rPr>
              <w:t>Вологодская область</w:t>
            </w:r>
          </w:p>
        </w:tc>
      </w:tr>
    </w:tbl>
    <w:p w:rsidR="00AA6697" w:rsidRPr="00273BDA" w:rsidRDefault="00AA6697" w:rsidP="00AA6697">
      <w:pPr>
        <w:jc w:val="center"/>
        <w:rPr>
          <w:rFonts w:ascii="Times New Roman" w:hAnsi="Times New Roman" w:cs="Times New Roman"/>
          <w:sz w:val="28"/>
          <w:szCs w:val="28"/>
        </w:rPr>
      </w:pPr>
    </w:p>
    <w:p w:rsidR="00AA6697" w:rsidRPr="00AA6697" w:rsidRDefault="00AA6697" w:rsidP="007A20E8">
      <w:pPr>
        <w:pStyle w:val="ConsPlusTitle"/>
        <w:ind w:right="4535"/>
        <w:jc w:val="both"/>
        <w:outlineLvl w:val="0"/>
        <w:rPr>
          <w:rFonts w:ascii="Times New Roman" w:hAnsi="Times New Roman" w:cs="Times New Roman"/>
          <w:b w:val="0"/>
          <w:sz w:val="28"/>
          <w:szCs w:val="28"/>
        </w:rPr>
      </w:pPr>
      <w:r w:rsidRPr="00AA6697">
        <w:rPr>
          <w:rFonts w:ascii="Times New Roman" w:hAnsi="Times New Roman" w:cs="Times New Roman"/>
          <w:b w:val="0"/>
          <w:sz w:val="28"/>
          <w:szCs w:val="28"/>
        </w:rPr>
        <w:t>Об утверждении Порядка составления и утверждения отчета</w:t>
      </w:r>
      <w:r>
        <w:rPr>
          <w:rFonts w:ascii="Times New Roman" w:hAnsi="Times New Roman" w:cs="Times New Roman"/>
          <w:b w:val="0"/>
          <w:sz w:val="28"/>
          <w:szCs w:val="28"/>
        </w:rPr>
        <w:t xml:space="preserve"> </w:t>
      </w:r>
      <w:r w:rsidRPr="00AA6697">
        <w:rPr>
          <w:rFonts w:ascii="Times New Roman" w:hAnsi="Times New Roman" w:cs="Times New Roman"/>
          <w:b w:val="0"/>
          <w:sz w:val="28"/>
          <w:szCs w:val="28"/>
        </w:rPr>
        <w:t>о результатах деятельности муниципального учреждения и об использовании закрепленного за ним муниципального имущества</w:t>
      </w:r>
    </w:p>
    <w:p w:rsidR="00AA6697" w:rsidRDefault="00AA6697" w:rsidP="00AA6697">
      <w:pPr>
        <w:pStyle w:val="ConsPlusTitle"/>
        <w:outlineLvl w:val="0"/>
        <w:rPr>
          <w:rFonts w:ascii="Times New Roman" w:hAnsi="Times New Roman" w:cs="Times New Roman"/>
          <w:b w:val="0"/>
          <w:sz w:val="28"/>
          <w:szCs w:val="28"/>
        </w:rPr>
      </w:pPr>
    </w:p>
    <w:p w:rsidR="00AA6697" w:rsidRPr="00B9275D" w:rsidRDefault="00AA6697" w:rsidP="00AA6697">
      <w:pPr>
        <w:pStyle w:val="ConsPlusTitle"/>
        <w:ind w:firstLine="709"/>
        <w:outlineLvl w:val="0"/>
        <w:rPr>
          <w:rFonts w:ascii="Times New Roman" w:hAnsi="Times New Roman" w:cs="Times New Roman"/>
          <w:b w:val="0"/>
          <w:sz w:val="28"/>
          <w:szCs w:val="28"/>
        </w:rPr>
      </w:pPr>
    </w:p>
    <w:p w:rsidR="00AA6697" w:rsidRPr="00AA6697" w:rsidRDefault="00AA6697" w:rsidP="00AA6697">
      <w:pPr>
        <w:widowControl w:val="0"/>
        <w:autoSpaceDE w:val="0"/>
        <w:autoSpaceDN w:val="0"/>
        <w:adjustRightInd w:val="0"/>
        <w:ind w:firstLine="540"/>
        <w:jc w:val="both"/>
        <w:rPr>
          <w:rFonts w:ascii="Times New Roman" w:eastAsia="Times New Roman" w:hAnsi="Times New Roman" w:cs="Times New Roman"/>
          <w:color w:val="000000"/>
          <w:sz w:val="28"/>
          <w:szCs w:val="28"/>
          <w:lang w:eastAsia="ru-RU"/>
        </w:rPr>
      </w:pPr>
      <w:r w:rsidRPr="00B9275D">
        <w:rPr>
          <w:rFonts w:ascii="Times New Roman" w:hAnsi="Times New Roman" w:cs="Times New Roman"/>
          <w:sz w:val="28"/>
          <w:szCs w:val="28"/>
        </w:rPr>
        <w:t xml:space="preserve">В соответствии с подпунктом 10 пункта 3.3 </w:t>
      </w:r>
      <w:hyperlink r:id="rId7" w:history="1">
        <w:r w:rsidRPr="00B9275D">
          <w:rPr>
            <w:rFonts w:ascii="Times New Roman" w:hAnsi="Times New Roman" w:cs="Times New Roman"/>
            <w:sz w:val="28"/>
            <w:szCs w:val="28"/>
          </w:rPr>
          <w:t>статьи 32</w:t>
        </w:r>
      </w:hyperlink>
      <w:r w:rsidRPr="00B9275D">
        <w:rPr>
          <w:rFonts w:ascii="Times New Roman" w:hAnsi="Times New Roman" w:cs="Times New Roman"/>
          <w:sz w:val="28"/>
          <w:szCs w:val="28"/>
        </w:rPr>
        <w:t xml:space="preserve"> Федерального за</w:t>
      </w:r>
      <w:r>
        <w:rPr>
          <w:rFonts w:ascii="Times New Roman" w:hAnsi="Times New Roman" w:cs="Times New Roman"/>
          <w:sz w:val="28"/>
          <w:szCs w:val="28"/>
        </w:rPr>
        <w:t>кона от 12.01.1996 № 7-ФЗ «</w:t>
      </w:r>
      <w:r w:rsidRPr="00B9275D">
        <w:rPr>
          <w:rFonts w:ascii="Times New Roman" w:hAnsi="Times New Roman" w:cs="Times New Roman"/>
          <w:sz w:val="28"/>
          <w:szCs w:val="28"/>
        </w:rPr>
        <w:t>О некоммерческих организациях</w:t>
      </w:r>
      <w:r>
        <w:rPr>
          <w:rFonts w:ascii="Times New Roman" w:hAnsi="Times New Roman" w:cs="Times New Roman"/>
          <w:sz w:val="28"/>
          <w:szCs w:val="28"/>
        </w:rPr>
        <w:t>»</w:t>
      </w:r>
      <w:r w:rsidRPr="00B9275D">
        <w:rPr>
          <w:rFonts w:ascii="Times New Roman" w:hAnsi="Times New Roman" w:cs="Times New Roman"/>
          <w:sz w:val="28"/>
          <w:szCs w:val="28"/>
        </w:rPr>
        <w:t xml:space="preserve">, Общими </w:t>
      </w:r>
      <w:hyperlink r:id="rId8" w:history="1">
        <w:r w:rsidRPr="00B9275D">
          <w:rPr>
            <w:rFonts w:ascii="Times New Roman" w:hAnsi="Times New Roman" w:cs="Times New Roman"/>
            <w:sz w:val="28"/>
            <w:szCs w:val="28"/>
          </w:rPr>
          <w:t>требованиями</w:t>
        </w:r>
      </w:hyperlink>
      <w:r w:rsidRPr="00B9275D">
        <w:rPr>
          <w:rFonts w:ascii="Times New Roman" w:hAnsi="Times New Roman" w:cs="Times New Roman"/>
          <w:sz w:val="28"/>
          <w:szCs w:val="28"/>
        </w:rPr>
        <w:t xml:space="preserve"> к порядку составления и утверждения отчета о результатах деятельности государственного (муниципального) учреждения</w:t>
      </w:r>
      <w:r>
        <w:rPr>
          <w:rFonts w:ascii="Times New Roman" w:hAnsi="Times New Roman" w:cs="Times New Roman"/>
          <w:sz w:val="28"/>
          <w:szCs w:val="28"/>
        </w:rPr>
        <w:t xml:space="preserve"> </w:t>
      </w:r>
      <w:r w:rsidRPr="00B9275D">
        <w:rPr>
          <w:rFonts w:ascii="Times New Roman" w:hAnsi="Times New Roman" w:cs="Times New Roman"/>
          <w:sz w:val="28"/>
          <w:szCs w:val="28"/>
        </w:rPr>
        <w:t>и об использовании закрепленного за ним государственного (муниципального) имущества, утвержденными приказом Минфина России</w:t>
      </w:r>
      <w:r>
        <w:rPr>
          <w:rFonts w:ascii="Times New Roman" w:hAnsi="Times New Roman" w:cs="Times New Roman"/>
          <w:sz w:val="28"/>
          <w:szCs w:val="28"/>
        </w:rPr>
        <w:t xml:space="preserve"> </w:t>
      </w:r>
      <w:r w:rsidRPr="00B9275D">
        <w:rPr>
          <w:rFonts w:ascii="Times New Roman" w:hAnsi="Times New Roman" w:cs="Times New Roman"/>
          <w:sz w:val="28"/>
          <w:szCs w:val="28"/>
        </w:rPr>
        <w:t xml:space="preserve">от </w:t>
      </w:r>
      <w:r>
        <w:rPr>
          <w:rFonts w:ascii="Times New Roman" w:hAnsi="Times New Roman" w:cs="Times New Roman"/>
          <w:sz w:val="28"/>
          <w:szCs w:val="28"/>
        </w:rPr>
        <w:t>02.11.2021</w:t>
      </w:r>
      <w:r w:rsidRPr="00B9275D">
        <w:rPr>
          <w:rFonts w:ascii="Times New Roman" w:hAnsi="Times New Roman" w:cs="Times New Roman"/>
          <w:sz w:val="28"/>
          <w:szCs w:val="28"/>
        </w:rPr>
        <w:t xml:space="preserve"> </w:t>
      </w:r>
      <w:r>
        <w:rPr>
          <w:rFonts w:ascii="Times New Roman" w:hAnsi="Times New Roman" w:cs="Times New Roman"/>
          <w:sz w:val="28"/>
          <w:szCs w:val="28"/>
        </w:rPr>
        <w:br/>
      </w:r>
      <w:r w:rsidRPr="00B9275D">
        <w:rPr>
          <w:rFonts w:ascii="Times New Roman" w:hAnsi="Times New Roman" w:cs="Times New Roman"/>
          <w:sz w:val="28"/>
          <w:szCs w:val="28"/>
        </w:rPr>
        <w:t>№</w:t>
      </w:r>
      <w:r>
        <w:rPr>
          <w:rFonts w:ascii="Times New Roman" w:hAnsi="Times New Roman" w:cs="Times New Roman"/>
          <w:sz w:val="28"/>
          <w:szCs w:val="28"/>
        </w:rPr>
        <w:t xml:space="preserve"> </w:t>
      </w:r>
      <w:r w:rsidRPr="00AA6697">
        <w:rPr>
          <w:rFonts w:ascii="Times New Roman" w:hAnsi="Times New Roman" w:cs="Times New Roman"/>
          <w:sz w:val="28"/>
          <w:szCs w:val="28"/>
        </w:rPr>
        <w:t>171н, постановлением администрации округа от 11.11.2022 г. № 425</w:t>
      </w:r>
      <w:r w:rsidRPr="00AA6697">
        <w:rPr>
          <w:rFonts w:ascii="Times New Roman" w:hAnsi="Times New Roman" w:cs="Times New Roman"/>
          <w:sz w:val="28"/>
          <w:szCs w:val="28"/>
        </w:rPr>
        <w:br/>
        <w:t xml:space="preserve"> </w:t>
      </w:r>
      <w:r>
        <w:rPr>
          <w:rFonts w:ascii="Times New Roman" w:hAnsi="Times New Roman" w:cs="Times New Roman"/>
          <w:sz w:val="28"/>
          <w:szCs w:val="28"/>
        </w:rPr>
        <w:t>«</w:t>
      </w:r>
      <w:r w:rsidRPr="00AA6697">
        <w:rPr>
          <w:rFonts w:ascii="Times New Roman" w:hAnsi="Times New Roman" w:cs="Times New Roman"/>
          <w:color w:val="000000"/>
          <w:sz w:val="28"/>
          <w:szCs w:val="28"/>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округа и финансовом обеспечении выполнения муниципального задания»</w:t>
      </w:r>
      <w:r>
        <w:rPr>
          <w:rFonts w:ascii="Times New Roman" w:hAnsi="Times New Roman" w:cs="Times New Roman"/>
          <w:color w:val="000000"/>
          <w:sz w:val="28"/>
          <w:szCs w:val="28"/>
        </w:rPr>
        <w:t xml:space="preserve">, </w:t>
      </w:r>
      <w:r w:rsidRPr="00AA6697">
        <w:rPr>
          <w:rFonts w:ascii="Times New Roman" w:eastAsia="Times New Roman" w:hAnsi="Times New Roman" w:cs="Times New Roman"/>
          <w:color w:val="000000"/>
          <w:sz w:val="28"/>
          <w:szCs w:val="28"/>
          <w:lang w:eastAsia="ru-RU"/>
        </w:rPr>
        <w:t xml:space="preserve">администрация </w:t>
      </w:r>
      <w:r>
        <w:rPr>
          <w:rFonts w:ascii="Times New Roman" w:eastAsia="Times New Roman" w:hAnsi="Times New Roman" w:cs="Times New Roman"/>
          <w:color w:val="000000"/>
          <w:sz w:val="28"/>
          <w:szCs w:val="28"/>
          <w:lang w:eastAsia="ru-RU"/>
        </w:rPr>
        <w:t>округа</w:t>
      </w:r>
      <w:r w:rsidRPr="00AA6697">
        <w:rPr>
          <w:rFonts w:ascii="Times New Roman" w:eastAsia="Times New Roman" w:hAnsi="Times New Roman" w:cs="Times New Roman"/>
          <w:color w:val="000000"/>
          <w:sz w:val="28"/>
          <w:szCs w:val="28"/>
          <w:lang w:eastAsia="ru-RU"/>
        </w:rPr>
        <w:t xml:space="preserve"> </w:t>
      </w:r>
    </w:p>
    <w:p w:rsidR="00AA6697" w:rsidRPr="00AA6697" w:rsidRDefault="00AA6697" w:rsidP="00AA6697">
      <w:pPr>
        <w:widowControl w:val="0"/>
        <w:autoSpaceDE w:val="0"/>
        <w:autoSpaceDN w:val="0"/>
        <w:adjustRightInd w:val="0"/>
        <w:jc w:val="both"/>
        <w:rPr>
          <w:rFonts w:ascii="Times New Roman" w:eastAsia="Times New Roman" w:hAnsi="Times New Roman" w:cs="Times New Roman"/>
          <w:b/>
          <w:color w:val="000000"/>
          <w:sz w:val="28"/>
          <w:szCs w:val="28"/>
          <w:lang w:eastAsia="ru-RU"/>
        </w:rPr>
      </w:pPr>
      <w:r w:rsidRPr="00AA6697">
        <w:rPr>
          <w:rFonts w:ascii="Times New Roman" w:eastAsia="Times New Roman" w:hAnsi="Times New Roman" w:cs="Times New Roman"/>
          <w:b/>
          <w:color w:val="000000"/>
          <w:sz w:val="28"/>
          <w:szCs w:val="28"/>
          <w:lang w:eastAsia="ru-RU"/>
        </w:rPr>
        <w:t>ПОСТАНОВЛЯЕТ:</w:t>
      </w:r>
    </w:p>
    <w:p w:rsidR="00AA6697" w:rsidRPr="00F7720C" w:rsidRDefault="00AA6697" w:rsidP="00AA6697">
      <w:pPr>
        <w:autoSpaceDE w:val="0"/>
        <w:autoSpaceDN w:val="0"/>
        <w:adjustRightInd w:val="0"/>
        <w:ind w:firstLine="709"/>
        <w:jc w:val="both"/>
        <w:outlineLvl w:val="0"/>
        <w:rPr>
          <w:rFonts w:ascii="Times New Roman" w:hAnsi="Times New Roman" w:cs="Times New Roman"/>
          <w:sz w:val="28"/>
          <w:szCs w:val="28"/>
        </w:rPr>
      </w:pPr>
      <w:r w:rsidRPr="00F7720C">
        <w:rPr>
          <w:rFonts w:ascii="Times New Roman" w:hAnsi="Times New Roman" w:cs="Times New Roman"/>
          <w:sz w:val="28"/>
          <w:szCs w:val="28"/>
        </w:rPr>
        <w:t xml:space="preserve">1. Утвердить </w:t>
      </w:r>
      <w:hyperlink r:id="rId9" w:history="1">
        <w:r w:rsidRPr="00F7720C">
          <w:rPr>
            <w:rFonts w:ascii="Times New Roman" w:hAnsi="Times New Roman" w:cs="Times New Roman"/>
            <w:sz w:val="28"/>
            <w:szCs w:val="28"/>
          </w:rPr>
          <w:t>Порядок</w:t>
        </w:r>
      </w:hyperlink>
      <w:r w:rsidRPr="00F7720C">
        <w:rPr>
          <w:rFonts w:ascii="Times New Roman" w:hAnsi="Times New Roman" w:cs="Times New Roman"/>
          <w:sz w:val="28"/>
          <w:szCs w:val="28"/>
        </w:rPr>
        <w:t xml:space="preserve">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AA6697" w:rsidRDefault="00AA6697" w:rsidP="00AA6697">
      <w:pPr>
        <w:pStyle w:val="ConsPlusNormal"/>
        <w:ind w:firstLine="709"/>
        <w:jc w:val="both"/>
        <w:rPr>
          <w:rFonts w:ascii="Times New Roman" w:hAnsi="Times New Roman" w:cs="Times New Roman"/>
          <w:sz w:val="28"/>
          <w:szCs w:val="28"/>
        </w:rPr>
      </w:pPr>
      <w:r w:rsidRPr="00F7720C">
        <w:rPr>
          <w:rFonts w:ascii="Times New Roman" w:hAnsi="Times New Roman" w:cs="Times New Roman"/>
          <w:sz w:val="28"/>
          <w:szCs w:val="28"/>
        </w:rPr>
        <w:t>2. Настоящее постановление вступает в силу с даты подписания</w:t>
      </w:r>
      <w:r>
        <w:rPr>
          <w:rFonts w:ascii="Times New Roman" w:hAnsi="Times New Roman" w:cs="Times New Roman"/>
          <w:sz w:val="28"/>
          <w:szCs w:val="28"/>
        </w:rPr>
        <w:t xml:space="preserve"> </w:t>
      </w:r>
      <w:r w:rsidRPr="00F7720C">
        <w:rPr>
          <w:rFonts w:ascii="Times New Roman" w:hAnsi="Times New Roman" w:cs="Times New Roman"/>
          <w:sz w:val="28"/>
          <w:szCs w:val="28"/>
        </w:rPr>
        <w:t>и распространяется на правоотношен</w:t>
      </w:r>
      <w:r w:rsidR="007A20E8">
        <w:rPr>
          <w:rFonts w:ascii="Times New Roman" w:hAnsi="Times New Roman" w:cs="Times New Roman"/>
          <w:sz w:val="28"/>
          <w:szCs w:val="28"/>
        </w:rPr>
        <w:t>ия, возникающие при составлении</w:t>
      </w:r>
      <w:r>
        <w:rPr>
          <w:rFonts w:ascii="Times New Roman" w:hAnsi="Times New Roman" w:cs="Times New Roman"/>
          <w:sz w:val="28"/>
          <w:szCs w:val="28"/>
        </w:rPr>
        <w:t xml:space="preserve"> </w:t>
      </w:r>
      <w:r w:rsidRPr="00F7720C">
        <w:rPr>
          <w:rFonts w:ascii="Times New Roman" w:hAnsi="Times New Roman" w:cs="Times New Roman"/>
          <w:sz w:val="28"/>
          <w:szCs w:val="28"/>
        </w:rPr>
        <w:t>и утверждения отчета о результатах деятельности муниципального учреждения и об использовании закрепленного за ним муниципального имущества за 20</w:t>
      </w:r>
      <w:r>
        <w:rPr>
          <w:rFonts w:ascii="Times New Roman" w:hAnsi="Times New Roman" w:cs="Times New Roman"/>
          <w:sz w:val="28"/>
          <w:szCs w:val="28"/>
        </w:rPr>
        <w:t>23</w:t>
      </w:r>
      <w:r w:rsidRPr="00F7720C">
        <w:rPr>
          <w:rFonts w:ascii="Times New Roman" w:hAnsi="Times New Roman" w:cs="Times New Roman"/>
          <w:sz w:val="28"/>
          <w:szCs w:val="28"/>
        </w:rPr>
        <w:t xml:space="preserve"> год.</w:t>
      </w:r>
    </w:p>
    <w:p w:rsidR="00AA6697" w:rsidRDefault="00AA6697" w:rsidP="00AA6697">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3</w:t>
      </w:r>
      <w:r w:rsidRPr="00F7720C">
        <w:rPr>
          <w:rFonts w:ascii="Times New Roman" w:hAnsi="Times New Roman" w:cs="Times New Roman"/>
          <w:sz w:val="28"/>
          <w:szCs w:val="28"/>
        </w:rPr>
        <w:t xml:space="preserve">. Настоящее постановление подлежит размещению на официальном сайте </w:t>
      </w:r>
      <w:r>
        <w:rPr>
          <w:rFonts w:ascii="Times New Roman" w:hAnsi="Times New Roman" w:cs="Times New Roman"/>
          <w:sz w:val="28"/>
          <w:szCs w:val="28"/>
        </w:rPr>
        <w:t>округа</w:t>
      </w:r>
      <w:r w:rsidRPr="00BA56D1">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w:t>
      </w:r>
      <w:r w:rsidRPr="00BA56D1">
        <w:rPr>
          <w:rFonts w:ascii="Times New Roman" w:hAnsi="Times New Roman" w:cs="Times New Roman"/>
          <w:sz w:val="28"/>
          <w:szCs w:val="28"/>
        </w:rPr>
        <w:t>Интернет</w:t>
      </w:r>
      <w:r>
        <w:rPr>
          <w:rFonts w:ascii="Times New Roman" w:hAnsi="Times New Roman" w:cs="Times New Roman"/>
          <w:sz w:val="28"/>
          <w:szCs w:val="28"/>
        </w:rPr>
        <w:t>»</w:t>
      </w:r>
      <w:r w:rsidRPr="00BA56D1">
        <w:rPr>
          <w:rFonts w:ascii="Times New Roman" w:hAnsi="Times New Roman" w:cs="Times New Roman"/>
          <w:sz w:val="28"/>
          <w:szCs w:val="28"/>
        </w:rPr>
        <w:t>.</w:t>
      </w:r>
    </w:p>
    <w:p w:rsidR="00AA6697" w:rsidRDefault="00AA6697" w:rsidP="00AA6697">
      <w:pPr>
        <w:rPr>
          <w:rFonts w:ascii="Times New Roman" w:hAnsi="Times New Roman" w:cs="Times New Roman"/>
          <w:color w:val="000000" w:themeColor="text1"/>
          <w:sz w:val="28"/>
          <w:szCs w:val="28"/>
        </w:rPr>
      </w:pPr>
    </w:p>
    <w:p w:rsidR="00AA6697" w:rsidRDefault="00AA6697" w:rsidP="00AA6697">
      <w:pPr>
        <w:rPr>
          <w:rFonts w:ascii="Times New Roman" w:hAnsi="Times New Roman" w:cs="Times New Roman"/>
          <w:color w:val="000000" w:themeColor="text1"/>
          <w:sz w:val="28"/>
          <w:szCs w:val="28"/>
        </w:rPr>
      </w:pPr>
    </w:p>
    <w:p w:rsidR="00AA6697" w:rsidRDefault="00AA6697" w:rsidP="00AA669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округа</w:t>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sidR="00B728FA">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А.В. Кочкин</w:t>
      </w:r>
    </w:p>
    <w:p w:rsidR="00AA6697" w:rsidRDefault="00AA6697" w:rsidP="00B728FA">
      <w:pPr>
        <w:tabs>
          <w:tab w:val="left" w:pos="2410"/>
        </w:tabs>
        <w:ind w:left="5387"/>
        <w:jc w:val="both"/>
        <w:rPr>
          <w:rFonts w:ascii="Times New Roman" w:hAnsi="Times New Roman" w:cs="Times New Roman"/>
          <w:sz w:val="28"/>
          <w:szCs w:val="28"/>
        </w:rPr>
      </w:pPr>
      <w:r>
        <w:rPr>
          <w:rFonts w:ascii="Times New Roman" w:hAnsi="Times New Roman" w:cs="Times New Roman"/>
          <w:color w:val="000000" w:themeColor="text1"/>
          <w:sz w:val="28"/>
          <w:szCs w:val="28"/>
        </w:rPr>
        <w:br w:type="page"/>
      </w:r>
      <w:r>
        <w:rPr>
          <w:rFonts w:ascii="Times New Roman" w:hAnsi="Times New Roman" w:cs="Times New Roman"/>
          <w:sz w:val="28"/>
          <w:szCs w:val="28"/>
        </w:rPr>
        <w:lastRenderedPageBreak/>
        <w:t>УТВЕРЖДЕН</w:t>
      </w:r>
    </w:p>
    <w:p w:rsidR="00AA6697" w:rsidRPr="00B870EA" w:rsidRDefault="00B728FA" w:rsidP="00B728FA">
      <w:pPr>
        <w:tabs>
          <w:tab w:val="left" w:pos="2410"/>
        </w:tabs>
        <w:ind w:left="5387"/>
        <w:jc w:val="both"/>
        <w:rPr>
          <w:rFonts w:ascii="Times New Roman" w:hAnsi="Times New Roman" w:cs="Times New Roman"/>
          <w:sz w:val="28"/>
          <w:szCs w:val="28"/>
        </w:rPr>
      </w:pPr>
      <w:r>
        <w:rPr>
          <w:rFonts w:ascii="Times New Roman" w:hAnsi="Times New Roman" w:cs="Times New Roman"/>
          <w:sz w:val="28"/>
          <w:szCs w:val="28"/>
        </w:rPr>
        <w:t>п</w:t>
      </w:r>
      <w:r w:rsidR="00AA6697" w:rsidRPr="00B870EA">
        <w:rPr>
          <w:rFonts w:ascii="Times New Roman" w:hAnsi="Times New Roman" w:cs="Times New Roman"/>
          <w:sz w:val="28"/>
          <w:szCs w:val="28"/>
        </w:rPr>
        <w:t>остановлением</w:t>
      </w:r>
      <w:r>
        <w:rPr>
          <w:rFonts w:ascii="Times New Roman" w:hAnsi="Times New Roman" w:cs="Times New Roman"/>
          <w:sz w:val="28"/>
          <w:szCs w:val="28"/>
        </w:rPr>
        <w:t xml:space="preserve"> </w:t>
      </w:r>
      <w:r w:rsidR="00AA6697">
        <w:rPr>
          <w:rFonts w:ascii="Times New Roman" w:hAnsi="Times New Roman" w:cs="Times New Roman"/>
          <w:sz w:val="28"/>
          <w:szCs w:val="28"/>
        </w:rPr>
        <w:t>администрации округа</w:t>
      </w:r>
      <w:r>
        <w:rPr>
          <w:rFonts w:ascii="Times New Roman" w:hAnsi="Times New Roman" w:cs="Times New Roman"/>
          <w:sz w:val="28"/>
          <w:szCs w:val="28"/>
        </w:rPr>
        <w:t xml:space="preserve"> от 26.03.2024 г. № 239</w:t>
      </w:r>
      <w:r w:rsidR="00AA6697">
        <w:rPr>
          <w:rFonts w:ascii="Times New Roman" w:hAnsi="Times New Roman" w:cs="Times New Roman"/>
          <w:sz w:val="28"/>
          <w:szCs w:val="28"/>
        </w:rPr>
        <w:t xml:space="preserve"> </w:t>
      </w:r>
    </w:p>
    <w:p w:rsidR="00AA6697" w:rsidRPr="00A91210" w:rsidRDefault="00AA6697" w:rsidP="00AA6697">
      <w:pPr>
        <w:autoSpaceDE w:val="0"/>
        <w:autoSpaceDN w:val="0"/>
        <w:adjustRightInd w:val="0"/>
        <w:jc w:val="right"/>
        <w:outlineLvl w:val="0"/>
        <w:rPr>
          <w:rFonts w:ascii="Times New Roman" w:hAnsi="Times New Roman" w:cs="Times New Roman"/>
          <w:sz w:val="28"/>
          <w:szCs w:val="28"/>
        </w:rPr>
      </w:pPr>
    </w:p>
    <w:p w:rsidR="00AA6697" w:rsidRPr="00284848" w:rsidRDefault="00AA6697" w:rsidP="00AA6697">
      <w:pPr>
        <w:pStyle w:val="ConsPlusTitle"/>
        <w:jc w:val="center"/>
        <w:outlineLvl w:val="0"/>
        <w:rPr>
          <w:rFonts w:ascii="Times New Roman" w:hAnsi="Times New Roman" w:cs="Times New Roman"/>
          <w:sz w:val="28"/>
          <w:szCs w:val="28"/>
        </w:rPr>
      </w:pPr>
      <w:r w:rsidRPr="00284848">
        <w:rPr>
          <w:rFonts w:ascii="Times New Roman" w:hAnsi="Times New Roman" w:cs="Times New Roman"/>
          <w:sz w:val="28"/>
          <w:szCs w:val="28"/>
        </w:rPr>
        <w:t>Порядок</w:t>
      </w:r>
    </w:p>
    <w:p w:rsidR="00AA6697" w:rsidRPr="00284848" w:rsidRDefault="00AA6697" w:rsidP="00AA6697">
      <w:pPr>
        <w:pStyle w:val="ConsPlusTitle"/>
        <w:jc w:val="center"/>
        <w:outlineLvl w:val="0"/>
        <w:rPr>
          <w:rFonts w:ascii="Times New Roman" w:hAnsi="Times New Roman" w:cs="Times New Roman"/>
          <w:sz w:val="28"/>
          <w:szCs w:val="28"/>
        </w:rPr>
      </w:pPr>
      <w:r w:rsidRPr="00284848">
        <w:rPr>
          <w:rFonts w:ascii="Times New Roman" w:hAnsi="Times New Roman" w:cs="Times New Roman"/>
          <w:sz w:val="28"/>
          <w:szCs w:val="28"/>
        </w:rPr>
        <w:t>составления и утверждения отчета о результатах</w:t>
      </w:r>
    </w:p>
    <w:p w:rsidR="00AA6697" w:rsidRPr="00284848" w:rsidRDefault="00AA6697" w:rsidP="00AA6697">
      <w:pPr>
        <w:pStyle w:val="ConsPlusTitle"/>
        <w:jc w:val="center"/>
        <w:outlineLvl w:val="0"/>
        <w:rPr>
          <w:rFonts w:ascii="Times New Roman" w:hAnsi="Times New Roman" w:cs="Times New Roman"/>
          <w:sz w:val="28"/>
          <w:szCs w:val="28"/>
        </w:rPr>
      </w:pPr>
      <w:r w:rsidRPr="00284848">
        <w:rPr>
          <w:rFonts w:ascii="Times New Roman" w:hAnsi="Times New Roman" w:cs="Times New Roman"/>
          <w:sz w:val="28"/>
          <w:szCs w:val="28"/>
        </w:rPr>
        <w:t>деятельности муниципального учреждения и об использовании закрепленного за ним муниципального имущества</w:t>
      </w:r>
    </w:p>
    <w:p w:rsidR="00AA6697" w:rsidRPr="00A91210" w:rsidRDefault="00AA6697" w:rsidP="00AA6697">
      <w:pPr>
        <w:pStyle w:val="ConsPlusTitle"/>
        <w:jc w:val="center"/>
        <w:outlineLvl w:val="0"/>
        <w:rPr>
          <w:rFonts w:ascii="Times New Roman" w:hAnsi="Times New Roman" w:cs="Times New Roman"/>
          <w:b w:val="0"/>
          <w:sz w:val="28"/>
          <w:szCs w:val="28"/>
        </w:rPr>
      </w:pPr>
      <w:r w:rsidRPr="00A91210">
        <w:rPr>
          <w:rFonts w:ascii="Times New Roman" w:hAnsi="Times New Roman" w:cs="Times New Roman"/>
          <w:b w:val="0"/>
          <w:sz w:val="28"/>
          <w:szCs w:val="28"/>
        </w:rPr>
        <w:t xml:space="preserve"> (далее - </w:t>
      </w:r>
      <w:r>
        <w:rPr>
          <w:rFonts w:ascii="Times New Roman" w:hAnsi="Times New Roman" w:cs="Times New Roman"/>
          <w:b w:val="0"/>
          <w:sz w:val="28"/>
          <w:szCs w:val="28"/>
        </w:rPr>
        <w:t>П</w:t>
      </w:r>
      <w:r w:rsidRPr="00A91210">
        <w:rPr>
          <w:rFonts w:ascii="Times New Roman" w:hAnsi="Times New Roman" w:cs="Times New Roman"/>
          <w:b w:val="0"/>
          <w:sz w:val="28"/>
          <w:szCs w:val="28"/>
        </w:rPr>
        <w:t>орядок)</w:t>
      </w:r>
    </w:p>
    <w:p w:rsidR="00AA6697" w:rsidRPr="00A91210" w:rsidRDefault="00AA6697" w:rsidP="00AA6697">
      <w:pPr>
        <w:autoSpaceDE w:val="0"/>
        <w:autoSpaceDN w:val="0"/>
        <w:adjustRightInd w:val="0"/>
        <w:jc w:val="center"/>
        <w:outlineLvl w:val="0"/>
        <w:rPr>
          <w:rFonts w:ascii="Times New Roman" w:hAnsi="Times New Roman" w:cs="Times New Roman"/>
          <w:sz w:val="28"/>
          <w:szCs w:val="28"/>
        </w:rPr>
      </w:pP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1. Настоящий Порядок устанав</w:t>
      </w:r>
      <w:r w:rsidR="007A20E8">
        <w:rPr>
          <w:rFonts w:ascii="Times New Roman" w:hAnsi="Times New Roman" w:cs="Times New Roman"/>
          <w:sz w:val="28"/>
          <w:szCs w:val="28"/>
        </w:rPr>
        <w:t>ливает требования к составлению</w:t>
      </w:r>
      <w:r w:rsidRPr="00925048">
        <w:rPr>
          <w:rFonts w:ascii="Times New Roman" w:hAnsi="Times New Roman" w:cs="Times New Roman"/>
          <w:sz w:val="28"/>
          <w:szCs w:val="28"/>
        </w:rPr>
        <w:t xml:space="preserve"> и утверждению отчета о результатах деятельности муниципального учреждения </w:t>
      </w:r>
      <w:r>
        <w:rPr>
          <w:rFonts w:ascii="Times New Roman" w:hAnsi="Times New Roman" w:cs="Times New Roman"/>
          <w:sz w:val="28"/>
          <w:szCs w:val="28"/>
        </w:rPr>
        <w:t>округа</w:t>
      </w:r>
      <w:r w:rsidRPr="00925048">
        <w:rPr>
          <w:rFonts w:ascii="Times New Roman" w:hAnsi="Times New Roman" w:cs="Times New Roman"/>
          <w:sz w:val="28"/>
          <w:szCs w:val="28"/>
        </w:rPr>
        <w:t xml:space="preserve">, в отношении которого администрации </w:t>
      </w:r>
      <w:r>
        <w:rPr>
          <w:rFonts w:ascii="Times New Roman" w:hAnsi="Times New Roman" w:cs="Times New Roman"/>
          <w:sz w:val="28"/>
          <w:szCs w:val="28"/>
        </w:rPr>
        <w:t>округа</w:t>
      </w:r>
      <w:r w:rsidRPr="00925048">
        <w:rPr>
          <w:rFonts w:ascii="Times New Roman" w:hAnsi="Times New Roman" w:cs="Times New Roman"/>
          <w:sz w:val="28"/>
          <w:szCs w:val="28"/>
        </w:rPr>
        <w:t xml:space="preserve"> осуществляет функции и полномочия учредителя (далее - Учреждение) и об использовании закрепленного за ним муниципального имущества (далее - Отчет).</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2. Отчет составляется Учреждением в соответствии с настоящим Порядком и с учетом требований законодательства Российской Федерации о защите государственной тайны.</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3. Отчет автономного учреждения составляется в том числе с учетом требований, установленных </w:t>
      </w:r>
      <w:hyperlink r:id="rId10" w:history="1">
        <w:r w:rsidRPr="00925048">
          <w:rPr>
            <w:rFonts w:ascii="Times New Roman" w:hAnsi="Times New Roman" w:cs="Times New Roman"/>
            <w:sz w:val="28"/>
            <w:szCs w:val="28"/>
          </w:rPr>
          <w:t>Правилами</w:t>
        </w:r>
      </w:hyperlink>
      <w:r w:rsidRPr="00925048">
        <w:rPr>
          <w:rFonts w:ascii="Times New Roman" w:hAnsi="Times New Roman" w:cs="Times New Roman"/>
          <w:sz w:val="28"/>
          <w:szCs w:val="28"/>
        </w:rPr>
        <w:t xml:space="preserve"> опубликования отчетов о деятельности автономного учреждения и об использовании закрепленного за ним имущества, утвержденными постановлением Правительства Российской Федерации от 18.10.2007 № 684.</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4. Отчет составляется Учреждением в валюте Российской Федерации (в части показателей, формируемых в денежном выражении) по состоянию на 01 января года, следующего за отчетным, по форме согласно приложению</w:t>
      </w:r>
      <w:r>
        <w:rPr>
          <w:rFonts w:ascii="Times New Roman" w:hAnsi="Times New Roman" w:cs="Times New Roman"/>
          <w:sz w:val="28"/>
          <w:szCs w:val="28"/>
        </w:rPr>
        <w:t xml:space="preserve"> 1</w:t>
      </w:r>
      <w:r w:rsidRPr="00925048">
        <w:rPr>
          <w:rFonts w:ascii="Times New Roman" w:hAnsi="Times New Roman" w:cs="Times New Roman"/>
          <w:sz w:val="28"/>
          <w:szCs w:val="28"/>
        </w:rPr>
        <w:t xml:space="preserve"> к настоящему Порядку.</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5. Отчет Учреждения составляется в разрезе следующих разделов: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925048">
        <w:rPr>
          <w:rFonts w:ascii="Times New Roman" w:hAnsi="Times New Roman" w:cs="Times New Roman"/>
          <w:sz w:val="28"/>
          <w:szCs w:val="28"/>
        </w:rPr>
        <w:t>раздел 1 «Результат деятельности Учреждения»;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925048">
        <w:rPr>
          <w:rFonts w:ascii="Times New Roman" w:hAnsi="Times New Roman" w:cs="Times New Roman"/>
          <w:sz w:val="28"/>
          <w:szCs w:val="28"/>
        </w:rPr>
        <w:t xml:space="preserve">раздел 2 </w:t>
      </w:r>
      <w:r>
        <w:rPr>
          <w:rFonts w:ascii="Times New Roman" w:hAnsi="Times New Roman" w:cs="Times New Roman"/>
          <w:sz w:val="28"/>
          <w:szCs w:val="28"/>
        </w:rPr>
        <w:t>«</w:t>
      </w:r>
      <w:r w:rsidRPr="00925048">
        <w:rPr>
          <w:rFonts w:ascii="Times New Roman" w:hAnsi="Times New Roman" w:cs="Times New Roman"/>
          <w:sz w:val="28"/>
          <w:szCs w:val="28"/>
        </w:rPr>
        <w:t>Использование имущества, закрепленного за учреждением</w:t>
      </w:r>
      <w:r>
        <w:rPr>
          <w:rFonts w:ascii="Times New Roman" w:hAnsi="Times New Roman" w:cs="Times New Roman"/>
          <w:sz w:val="28"/>
          <w:szCs w:val="28"/>
        </w:rPr>
        <w:t>»</w:t>
      </w:r>
      <w:r w:rsidRPr="00925048">
        <w:rPr>
          <w:rFonts w:ascii="Times New Roman" w:hAnsi="Times New Roman" w:cs="Times New Roman"/>
          <w:sz w:val="28"/>
          <w:szCs w:val="28"/>
        </w:rPr>
        <w:t>.</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6. В раздел 1 «Результат деятельности Учреждения» включаются: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1) отчет о выполнении муниципального задания на оказание государственных (муниципальных) услуг (выполнение работ) (далее - муниципальное задание). Отчет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 </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Отчет формируется Учреждениями по форме, установленной приложением 2 к Положению </w:t>
      </w:r>
      <w:r w:rsidRPr="00AA6697">
        <w:rPr>
          <w:rFonts w:ascii="Times New Roman" w:hAnsi="Times New Roman" w:cs="Times New Roman"/>
          <w:color w:val="000000"/>
          <w:sz w:val="28"/>
          <w:szCs w:val="28"/>
        </w:rPr>
        <w:t xml:space="preserve">о формировании муниципального задания на оказание муниципальных услуг (выполнение работ) в отношении муниципальных учреждений округа и финансовом обеспечении выполнения </w:t>
      </w:r>
      <w:r w:rsidRPr="00AA6697">
        <w:rPr>
          <w:rFonts w:ascii="Times New Roman" w:hAnsi="Times New Roman" w:cs="Times New Roman"/>
          <w:color w:val="000000"/>
          <w:sz w:val="28"/>
          <w:szCs w:val="28"/>
        </w:rPr>
        <w:lastRenderedPageBreak/>
        <w:t>муниципального задания</w:t>
      </w:r>
      <w:r w:rsidRPr="00925048">
        <w:rPr>
          <w:rFonts w:ascii="Times New Roman" w:hAnsi="Times New Roman" w:cs="Times New Roman"/>
          <w:sz w:val="28"/>
          <w:szCs w:val="28"/>
        </w:rPr>
        <w:t xml:space="preserve">, утвержденного постановлением администрации </w:t>
      </w:r>
      <w:r>
        <w:rPr>
          <w:rFonts w:ascii="Times New Roman" w:hAnsi="Times New Roman" w:cs="Times New Roman"/>
          <w:sz w:val="28"/>
          <w:szCs w:val="28"/>
        </w:rPr>
        <w:t>округа</w:t>
      </w:r>
      <w:r w:rsidRPr="00925048">
        <w:rPr>
          <w:rFonts w:ascii="Times New Roman" w:hAnsi="Times New Roman" w:cs="Times New Roman"/>
          <w:sz w:val="28"/>
          <w:szCs w:val="28"/>
        </w:rPr>
        <w:t xml:space="preserve"> от </w:t>
      </w:r>
      <w:r w:rsidRPr="00AA6697">
        <w:rPr>
          <w:rFonts w:ascii="Times New Roman" w:hAnsi="Times New Roman" w:cs="Times New Roman"/>
          <w:sz w:val="28"/>
          <w:szCs w:val="28"/>
        </w:rPr>
        <w:t>11.11.2022 г. № 425</w:t>
      </w:r>
      <w:r w:rsidRPr="00925048">
        <w:rPr>
          <w:rFonts w:ascii="Times New Roman" w:hAnsi="Times New Roman" w:cs="Times New Roman"/>
          <w:sz w:val="28"/>
          <w:szCs w:val="28"/>
        </w:rPr>
        <w:t>.</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Отчет формируется бюджетными и автономными учреждениями, а также казенными учреждениями, которым в соответствии с решением органа - учредителя сформировано муниципальное задание;</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2) сведения о поступлениях и выплатах Учреждения, формируемые бюджетными и автономными учреждениями и содержащие информацию об объеме поступлений за отчетный финансовый год и год, предшествующий отчетному, и выплат за отчетный финансовый год.</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AA6697">
        <w:rPr>
          <w:rFonts w:ascii="Times New Roman" w:hAnsi="Times New Roman" w:cs="Times New Roman"/>
          <w:sz w:val="28"/>
          <w:szCs w:val="28"/>
        </w:rPr>
        <w:t>Информация о поступлениях</w:t>
      </w:r>
      <w:r w:rsidRPr="00925048">
        <w:rPr>
          <w:rFonts w:ascii="Times New Roman" w:hAnsi="Times New Roman" w:cs="Times New Roman"/>
          <w:sz w:val="28"/>
          <w:szCs w:val="28"/>
        </w:rPr>
        <w:t xml:space="preserve"> формируется с указанием: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а) 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абзацем вторым пункта 1 статьи 78.1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б) 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в) объема поступлений от приносящей доход деятельности, компенсации затрат, с обособлением информации: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к основным;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от оказания услуг в рамках обязательного медицинского страхования;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от возмещения расходов, понесенных в связи с эксплуатацией имущества, находящегося в оперативном управлении Учреждения;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lastRenderedPageBreak/>
        <w:t>г) объема поступлений доходов от собственности с обособлением информации: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в виде арендной либо иной платы за передачу в возмездное пользование муниципального имущества;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от распоряжения правами на результаты интеллектуальной деятельности и средствами индивидуализации;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в виде процентов по депозитам и процентов по остаткам средств на счетах учреждения;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 объема поступлений доходов от штрафов, пеней, неустоек, возмещения ущерба;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е) объема доходов от выбытия финансовых и нефинансовых активов.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7F7242">
        <w:rPr>
          <w:rFonts w:ascii="Times New Roman" w:hAnsi="Times New Roman" w:cs="Times New Roman"/>
          <w:sz w:val="28"/>
          <w:szCs w:val="28"/>
        </w:rPr>
        <w:t>Информация о выплатах</w:t>
      </w:r>
      <w:r w:rsidRPr="00925048">
        <w:rPr>
          <w:rFonts w:ascii="Times New Roman" w:hAnsi="Times New Roman" w:cs="Times New Roman"/>
          <w:sz w:val="28"/>
          <w:szCs w:val="28"/>
        </w:rPr>
        <w:t xml:space="preserve"> формируется с указанием: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а) объема выплат по оплате труда и компенсационных выплат работникам;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б) объема выплат по перечислению взносов по обязательному социальному страхованию;</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в) 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г) объема выплат по обслуживанию долговых обязательств;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 объема выплат по безвозмездному перечислению организациям;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е) объема выплат по социальному обеспечению;</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ж) объема выплат, связанных с уплатой налогов, сборов, прочих платежей в бюджет (по видам налогов);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з) объема выплат, направленных на приобретение финансовых активов;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и) объема выплат в целях денежных обеспечений;</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к) объема перечислений на депозитные счета.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3) сведения об оказываемых услугах, выполняемых работах сверх установленного муниципального задания, а также выпускаемой продукции, которые содержат</w:t>
      </w:r>
      <w:r w:rsidRPr="00925048">
        <w:rPr>
          <w:sz w:val="28"/>
          <w:szCs w:val="28"/>
        </w:rPr>
        <w:t xml:space="preserve"> </w:t>
      </w:r>
      <w:r w:rsidRPr="00925048">
        <w:rPr>
          <w:rFonts w:ascii="Times New Roman" w:hAnsi="Times New Roman" w:cs="Times New Roman"/>
          <w:sz w:val="28"/>
          <w:szCs w:val="28"/>
        </w:rPr>
        <w:t xml:space="preserve">информацию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произведенной продукции),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 </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lastRenderedPageBreak/>
        <w:t>4) сведения о кредиторской задолженности и обязательствах учреждения, которые содержат информацию:</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 поступившим расчетным документам.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5) сведения о просроченной кредиторской задолженности, которые содержат информацию об объеме просроченной кредиторской задолженности на начало года и конец отчетного периода,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6) сведения о задолженности по ущербу, недостачам, хищениям денежных средств и материальных ценностей, которые содержат информацию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7) сведения о численности сотрудников и оплате труда, которые содержат информацию о штатной численности (установлено штатным расписанием, замещено, вакантно) на начало года и конец отчетного периода, </w:t>
      </w:r>
      <w:r w:rsidRPr="00925048">
        <w:rPr>
          <w:rFonts w:ascii="Times New Roman" w:hAnsi="Times New Roman" w:cs="Times New Roman"/>
          <w:sz w:val="28"/>
          <w:szCs w:val="28"/>
        </w:rPr>
        <w:lastRenderedPageBreak/>
        <w:t>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(статья 60.1 Трудового кодекса Российской Федерации), а также информация о численности сотрудников, выполняющих работу без заключения трудового договора (по договорам гражданско-правового характера).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Информация о численности основного персонала формируется с указанием численности категорий работников, установленных Указом Президента Российской Федерации от 7 мая 2012 г. № 597 </w:t>
      </w:r>
      <w:r w:rsidR="007F7242">
        <w:rPr>
          <w:rFonts w:ascii="Times New Roman" w:hAnsi="Times New Roman" w:cs="Times New Roman"/>
          <w:sz w:val="28"/>
          <w:szCs w:val="28"/>
        </w:rPr>
        <w:t>«</w:t>
      </w:r>
      <w:r w:rsidRPr="00925048">
        <w:rPr>
          <w:rFonts w:ascii="Times New Roman" w:hAnsi="Times New Roman" w:cs="Times New Roman"/>
          <w:sz w:val="28"/>
          <w:szCs w:val="28"/>
        </w:rPr>
        <w:t>О мероприятиях по реализации государственной социальной политики</w:t>
      </w:r>
      <w:r w:rsidR="007F7242">
        <w:rPr>
          <w:rFonts w:ascii="Times New Roman" w:hAnsi="Times New Roman" w:cs="Times New Roman"/>
          <w:sz w:val="28"/>
          <w:szCs w:val="28"/>
        </w:rPr>
        <w:t>»</w:t>
      </w:r>
      <w:r w:rsidRPr="00925048">
        <w:rPr>
          <w:rFonts w:ascii="Times New Roman" w:hAnsi="Times New Roman" w:cs="Times New Roman"/>
          <w:sz w:val="28"/>
          <w:szCs w:val="28"/>
        </w:rPr>
        <w:t>.</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(статья 60.1 Трудового кодекса Российской Федерации), а также оплате вознаграждения лицам, выполняющим работу без заключения трудового договора (по договорам гражданско-правового характера);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8) сведения о счетах учреждения, открытых в кредитных организациях, которые содержат информацию</w:t>
      </w:r>
      <w:r w:rsidRPr="00925048">
        <w:rPr>
          <w:sz w:val="28"/>
          <w:szCs w:val="28"/>
        </w:rPr>
        <w:t xml:space="preserve"> </w:t>
      </w:r>
      <w:r w:rsidRPr="00925048">
        <w:rPr>
          <w:rFonts w:ascii="Times New Roman" w:hAnsi="Times New Roman" w:cs="Times New Roman"/>
          <w:sz w:val="28"/>
          <w:szCs w:val="28"/>
        </w:rPr>
        <w:t>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7. В раздел 2 «Использование имущества, закрепленного за учреждением» включаются: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1) 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в которых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w:t>
      </w:r>
      <w:r w:rsidRPr="00925048">
        <w:rPr>
          <w:rFonts w:ascii="Times New Roman" w:hAnsi="Times New Roman" w:cs="Times New Roman"/>
          <w:sz w:val="28"/>
          <w:szCs w:val="28"/>
        </w:rPr>
        <w:lastRenderedPageBreak/>
        <w:t>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2) сведения о земельных участках, предоставленных на праве постоянного (бессрочного) пользования (далее - сведения об использовании земельных участков), в которых отражается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3) сведения о недвижимом имуществе, используемом по договору аренды, в которых отражается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4) сведения о недвижимом имуществе, используемом по договору безвозмездного пользования (договору ссуды), в которых отражается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w:t>
      </w:r>
      <w:r w:rsidRPr="00925048">
        <w:rPr>
          <w:rFonts w:ascii="Times New Roman" w:hAnsi="Times New Roman" w:cs="Times New Roman"/>
          <w:sz w:val="28"/>
          <w:szCs w:val="28"/>
        </w:rPr>
        <w:lastRenderedPageBreak/>
        <w:t>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5) сведения об особо ценном движимом имуществе (за исключением транспортных средств), которые включают информацию о наличии особо ценного движимого имущества (по группам основных средств), балансовой стоимости и остаточной стоимости имущества.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w:t>
      </w:r>
      <w:r w:rsidR="00B728FA">
        <w:rPr>
          <w:rFonts w:ascii="Times New Roman" w:hAnsi="Times New Roman" w:cs="Times New Roman"/>
          <w:sz w:val="28"/>
          <w:szCs w:val="28"/>
        </w:rPr>
        <w:t xml:space="preserve">ату налогов, в качестве объекта </w:t>
      </w:r>
      <w:r w:rsidRPr="00925048">
        <w:rPr>
          <w:rFonts w:ascii="Times New Roman" w:hAnsi="Times New Roman" w:cs="Times New Roman"/>
          <w:sz w:val="28"/>
          <w:szCs w:val="28"/>
        </w:rPr>
        <w:t>налогообложения по которым признается указанное имущество, заработную плату обслуживающего персонала, иные расходы;</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6) сведения о транспортных средствах, которые включают информацию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 пациентов.</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7) сведения об имуществе, за исключением земельных участков, переданном в аренду, в которых отражается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8. В случае отсутствия данных по отдельным подразделам Отчета о результатах деятельности, подразделы Отчета о результатах деятельности не заполняются (не составляются), информация об этом подлежит отражению в пояснительной записке к Отчету о результатах деятельности, которая, в случае не составления каких-либо подразделов, является неотъемлемой частью Отчета о результатах деятельности.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lastRenderedPageBreak/>
        <w:t>9. Показатели Отчета, формируемые в денежном выражении, должны быть сопоставимы с показателями, включаемыми в состав бюджетной (бухгалтерской) отчетности Учреждения.</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10. Отчет автономного учреждения утверждается руководителем Учреждения с учетом требований Федерального закона от 03.11.2006 № 174-ФЗ «Об автономных учреждениях».</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11. Отчет предоставляется в органы и структурные подразделения администрации </w:t>
      </w:r>
      <w:r w:rsidR="007F7242">
        <w:rPr>
          <w:rFonts w:ascii="Times New Roman" w:hAnsi="Times New Roman" w:cs="Times New Roman"/>
          <w:sz w:val="28"/>
          <w:szCs w:val="28"/>
        </w:rPr>
        <w:t>округа</w:t>
      </w:r>
      <w:r w:rsidRPr="00925048">
        <w:rPr>
          <w:rFonts w:ascii="Times New Roman" w:hAnsi="Times New Roman" w:cs="Times New Roman"/>
          <w:sz w:val="28"/>
          <w:szCs w:val="28"/>
        </w:rPr>
        <w:t xml:space="preserve">, осуществляющие контроль за деятельностью учреждений </w:t>
      </w:r>
      <w:r w:rsidR="007F7242">
        <w:rPr>
          <w:rFonts w:ascii="Times New Roman" w:hAnsi="Times New Roman" w:cs="Times New Roman"/>
          <w:sz w:val="28"/>
          <w:szCs w:val="28"/>
        </w:rPr>
        <w:t>округа</w:t>
      </w:r>
      <w:r w:rsidRPr="00925048">
        <w:rPr>
          <w:rFonts w:ascii="Times New Roman" w:hAnsi="Times New Roman" w:cs="Times New Roman"/>
          <w:sz w:val="28"/>
          <w:szCs w:val="28"/>
        </w:rPr>
        <w:t xml:space="preserve">, в срок не позднее 1 марта, следующего за отчетным, для проверки. </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Отчет проверяется в течение трех рабочих дней, согласовывается или, в случаях установления факта недостоверности предоставленной Учреждением информации и (или) представления указанной информации не в полном объеме, возвращается Учреждению с требованием о доработке с указанием причин, послуживших основанием для необходимости его доработки.</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Учреждение, получившее на доработку Отчет, устраняет недостатки и повторно направляет его на рассмотрение в течение десяти рабочих дней, следующих за днем получения Отчета. Доработанный Отчет повторно проверяется органами, указанными в абзаце первом настоящего пункта в порядке, предусмотренном настоящим пунктом.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После согласования Отчета органами, указанными в абзаце первом настоящего пункта, Отчет утверждается руководителем Учреждения, и представляется Учредителю, в лице заместителя руководителя администрации </w:t>
      </w:r>
      <w:r w:rsidR="007F7242">
        <w:rPr>
          <w:rFonts w:ascii="Times New Roman" w:hAnsi="Times New Roman" w:cs="Times New Roman"/>
          <w:sz w:val="28"/>
          <w:szCs w:val="28"/>
        </w:rPr>
        <w:t>округа</w:t>
      </w:r>
      <w:r w:rsidRPr="00925048">
        <w:rPr>
          <w:rFonts w:ascii="Times New Roman" w:hAnsi="Times New Roman" w:cs="Times New Roman"/>
          <w:sz w:val="28"/>
          <w:szCs w:val="28"/>
        </w:rPr>
        <w:t xml:space="preserve">, управляющего делами администрации </w:t>
      </w:r>
      <w:r w:rsidR="007F7242">
        <w:rPr>
          <w:rFonts w:ascii="Times New Roman" w:hAnsi="Times New Roman" w:cs="Times New Roman"/>
          <w:sz w:val="28"/>
          <w:szCs w:val="28"/>
        </w:rPr>
        <w:t>округа</w:t>
      </w:r>
      <w:r w:rsidRPr="00925048">
        <w:rPr>
          <w:rFonts w:ascii="Times New Roman" w:hAnsi="Times New Roman" w:cs="Times New Roman"/>
          <w:sz w:val="28"/>
          <w:szCs w:val="28"/>
        </w:rPr>
        <w:t>, курирующего соответствующую сферу (уполномоченное лицо) на согласование не позднее 1 апреля года, следующего за отчетным.</w:t>
      </w:r>
    </w:p>
    <w:p w:rsidR="00AA6697" w:rsidRPr="00925048" w:rsidRDefault="00AA6697" w:rsidP="00AA6697">
      <w:pPr>
        <w:autoSpaceDE w:val="0"/>
        <w:autoSpaceDN w:val="0"/>
        <w:adjustRightInd w:val="0"/>
        <w:ind w:firstLine="709"/>
        <w:jc w:val="both"/>
        <w:outlineLvl w:val="0"/>
        <w:rPr>
          <w:rFonts w:ascii="Times New Roman" w:hAnsi="Times New Roman" w:cs="Times New Roman"/>
          <w:sz w:val="28"/>
          <w:szCs w:val="28"/>
        </w:rPr>
      </w:pPr>
      <w:r w:rsidRPr="00925048">
        <w:rPr>
          <w:rFonts w:ascii="Times New Roman" w:hAnsi="Times New Roman" w:cs="Times New Roman"/>
          <w:sz w:val="28"/>
          <w:szCs w:val="28"/>
        </w:rPr>
        <w:t xml:space="preserve">12. Утвержденный и согласованный Учредителем Отчет подлежит размещению на официальном сайте в </w:t>
      </w:r>
      <w:r w:rsidR="007F6CCA">
        <w:rPr>
          <w:rFonts w:ascii="Times New Roman" w:hAnsi="Times New Roman" w:cs="Times New Roman"/>
          <w:sz w:val="28"/>
          <w:szCs w:val="28"/>
        </w:rPr>
        <w:t xml:space="preserve">информационно-телекоммуникационной </w:t>
      </w:r>
      <w:r w:rsidRPr="00925048">
        <w:rPr>
          <w:rFonts w:ascii="Times New Roman" w:hAnsi="Times New Roman" w:cs="Times New Roman"/>
          <w:sz w:val="28"/>
          <w:szCs w:val="28"/>
        </w:rPr>
        <w:t xml:space="preserve">сети </w:t>
      </w:r>
      <w:r w:rsidR="007F6CCA">
        <w:rPr>
          <w:rFonts w:ascii="Times New Roman" w:hAnsi="Times New Roman" w:cs="Times New Roman"/>
          <w:sz w:val="28"/>
          <w:szCs w:val="28"/>
        </w:rPr>
        <w:t>«</w:t>
      </w:r>
      <w:r w:rsidRPr="00925048">
        <w:rPr>
          <w:rFonts w:ascii="Times New Roman" w:hAnsi="Times New Roman" w:cs="Times New Roman"/>
          <w:sz w:val="28"/>
          <w:szCs w:val="28"/>
        </w:rPr>
        <w:t>Интернет</w:t>
      </w:r>
      <w:r w:rsidR="007F6CCA">
        <w:rPr>
          <w:rFonts w:ascii="Times New Roman" w:hAnsi="Times New Roman" w:cs="Times New Roman"/>
          <w:sz w:val="28"/>
          <w:szCs w:val="28"/>
        </w:rPr>
        <w:t>»</w:t>
      </w:r>
      <w:r w:rsidRPr="00925048">
        <w:rPr>
          <w:rFonts w:ascii="Times New Roman" w:hAnsi="Times New Roman" w:cs="Times New Roman"/>
          <w:sz w:val="28"/>
          <w:szCs w:val="28"/>
        </w:rPr>
        <w:t xml:space="preserve"> в соответствии с порядком, утвержденным приказом Министерства финансов Российской Федерации от 21.07.2011 № 86н </w:t>
      </w:r>
      <w:r w:rsidR="007F6CCA">
        <w:rPr>
          <w:rFonts w:ascii="Times New Roman" w:hAnsi="Times New Roman" w:cs="Times New Roman"/>
          <w:sz w:val="28"/>
          <w:szCs w:val="28"/>
        </w:rPr>
        <w:t>«</w:t>
      </w:r>
      <w:r w:rsidRPr="00925048">
        <w:rPr>
          <w:rFonts w:ascii="Times New Roman" w:hAnsi="Times New Roman" w:cs="Times New Roman"/>
          <w:sz w:val="28"/>
          <w:szCs w:val="28"/>
        </w:rPr>
        <w:t>Об утверждении порядка предоставления информации государственным</w:t>
      </w:r>
      <w:r w:rsidR="007F6CCA">
        <w:rPr>
          <w:rFonts w:ascii="Times New Roman" w:hAnsi="Times New Roman" w:cs="Times New Roman"/>
          <w:sz w:val="28"/>
          <w:szCs w:val="28"/>
        </w:rPr>
        <w:t xml:space="preserve"> (муниципальным) учреждением, </w:t>
      </w:r>
      <w:r w:rsidRPr="00925048">
        <w:rPr>
          <w:rFonts w:ascii="Times New Roman" w:hAnsi="Times New Roman" w:cs="Times New Roman"/>
          <w:sz w:val="28"/>
          <w:szCs w:val="28"/>
        </w:rPr>
        <w:t xml:space="preserve">ее размещения на официальном </w:t>
      </w:r>
      <w:bookmarkStart w:id="0" w:name="_GoBack"/>
      <w:bookmarkEnd w:id="0"/>
      <w:r w:rsidRPr="00925048">
        <w:rPr>
          <w:rFonts w:ascii="Times New Roman" w:hAnsi="Times New Roman" w:cs="Times New Roman"/>
          <w:sz w:val="28"/>
          <w:szCs w:val="28"/>
        </w:rPr>
        <w:t>сайте в сети Интернет и ведения указанного сайта</w:t>
      </w:r>
      <w:r w:rsidR="007F6CCA">
        <w:rPr>
          <w:rFonts w:ascii="Times New Roman" w:hAnsi="Times New Roman" w:cs="Times New Roman"/>
          <w:sz w:val="28"/>
          <w:szCs w:val="28"/>
        </w:rPr>
        <w:t>»</w:t>
      </w:r>
      <w:r w:rsidRPr="00925048">
        <w:rPr>
          <w:rFonts w:ascii="Times New Roman" w:hAnsi="Times New Roman" w:cs="Times New Roman"/>
          <w:sz w:val="28"/>
          <w:szCs w:val="28"/>
        </w:rPr>
        <w:t>. Отчет должен быть размещен не позднее одного месяца со дня утверждения и согласования Учредителем.</w:t>
      </w:r>
    </w:p>
    <w:p w:rsidR="00AA6697" w:rsidRPr="00B728FA" w:rsidRDefault="00AA6697" w:rsidP="00AA6697">
      <w:pPr>
        <w:autoSpaceDE w:val="0"/>
        <w:autoSpaceDN w:val="0"/>
        <w:adjustRightInd w:val="0"/>
        <w:ind w:firstLine="709"/>
        <w:jc w:val="both"/>
        <w:outlineLvl w:val="0"/>
        <w:rPr>
          <w:rFonts w:ascii="Times New Roman" w:hAnsi="Times New Roman" w:cs="Times New Roman"/>
          <w:sz w:val="28"/>
          <w:szCs w:val="28"/>
        </w:rPr>
      </w:pPr>
      <w:r w:rsidRPr="00B728FA">
        <w:rPr>
          <w:rFonts w:ascii="Times New Roman" w:hAnsi="Times New Roman" w:cs="Times New Roman"/>
          <w:sz w:val="28"/>
          <w:szCs w:val="28"/>
        </w:rPr>
        <w:t>13. Информация о дате размещения и сайте в сети Интернет, на котором размещен Отчет, должна размещаться в помещении Учреждения в доступном для потребителей услуг Учреждения месте.</w:t>
      </w:r>
    </w:p>
    <w:p w:rsidR="005C4552" w:rsidRDefault="005C4552"/>
    <w:sectPr w:rsidR="005C4552" w:rsidSect="007F6CCA">
      <w:pgSz w:w="11906" w:h="16838"/>
      <w:pgMar w:top="1134" w:right="850" w:bottom="709" w:left="1701"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62E" w:rsidRDefault="002E562E" w:rsidP="00AA6697">
      <w:r>
        <w:separator/>
      </w:r>
    </w:p>
  </w:endnote>
  <w:endnote w:type="continuationSeparator" w:id="0">
    <w:p w:rsidR="002E562E" w:rsidRDefault="002E562E" w:rsidP="00AA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62E" w:rsidRDefault="002E562E" w:rsidP="00AA6697">
      <w:r>
        <w:separator/>
      </w:r>
    </w:p>
  </w:footnote>
  <w:footnote w:type="continuationSeparator" w:id="0">
    <w:p w:rsidR="002E562E" w:rsidRDefault="002E562E" w:rsidP="00AA6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697"/>
    <w:rsid w:val="002E562E"/>
    <w:rsid w:val="005917D1"/>
    <w:rsid w:val="005C4552"/>
    <w:rsid w:val="00795665"/>
    <w:rsid w:val="007A20E8"/>
    <w:rsid w:val="007E3417"/>
    <w:rsid w:val="007F6CCA"/>
    <w:rsid w:val="007F7242"/>
    <w:rsid w:val="00AA6697"/>
    <w:rsid w:val="00B728FA"/>
    <w:rsid w:val="00E14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A1CE8-CADA-4DC2-9E27-2609B2AB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697"/>
    <w:pPr>
      <w:spacing w:after="0" w:line="240" w:lineRule="auto"/>
    </w:pPr>
  </w:style>
  <w:style w:type="paragraph" w:styleId="3">
    <w:name w:val="heading 3"/>
    <w:basedOn w:val="a"/>
    <w:next w:val="a"/>
    <w:link w:val="30"/>
    <w:unhideWhenUsed/>
    <w:qFormat/>
    <w:rsid w:val="00AA6697"/>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A6697"/>
    <w:rPr>
      <w:rFonts w:ascii="Cambria" w:eastAsia="Times New Roman" w:hAnsi="Cambria" w:cs="Times New Roman"/>
      <w:b/>
      <w:bCs/>
      <w:sz w:val="26"/>
      <w:szCs w:val="26"/>
      <w:lang w:eastAsia="ru-RU"/>
    </w:rPr>
  </w:style>
  <w:style w:type="paragraph" w:customStyle="1" w:styleId="ConsPlusNormal">
    <w:name w:val="ConsPlusNormal"/>
    <w:link w:val="ConsPlusNormal0"/>
    <w:rsid w:val="00AA6697"/>
    <w:pPr>
      <w:autoSpaceDE w:val="0"/>
      <w:autoSpaceDN w:val="0"/>
      <w:adjustRightInd w:val="0"/>
      <w:spacing w:after="0" w:line="240" w:lineRule="auto"/>
    </w:pPr>
    <w:rPr>
      <w:rFonts w:ascii="Arial" w:hAnsi="Arial" w:cs="Arial"/>
      <w:sz w:val="20"/>
      <w:szCs w:val="20"/>
    </w:rPr>
  </w:style>
  <w:style w:type="paragraph" w:customStyle="1" w:styleId="ConsPlusTitle">
    <w:name w:val="ConsPlusTitle"/>
    <w:link w:val="ConsPlusTitle0"/>
    <w:uiPriority w:val="99"/>
    <w:rsid w:val="00AA6697"/>
    <w:pPr>
      <w:suppressAutoHyphens/>
      <w:autoSpaceDE w:val="0"/>
      <w:spacing w:after="0" w:line="240" w:lineRule="auto"/>
    </w:pPr>
    <w:rPr>
      <w:rFonts w:ascii="Arial" w:eastAsia="Calibri" w:hAnsi="Arial" w:cs="Arial"/>
      <w:b/>
      <w:bCs/>
      <w:sz w:val="20"/>
      <w:szCs w:val="20"/>
      <w:lang w:eastAsia="ar-SA"/>
    </w:rPr>
  </w:style>
  <w:style w:type="paragraph" w:styleId="a3">
    <w:name w:val="header"/>
    <w:basedOn w:val="a"/>
    <w:link w:val="a4"/>
    <w:uiPriority w:val="99"/>
    <w:unhideWhenUsed/>
    <w:rsid w:val="00AA6697"/>
    <w:pPr>
      <w:tabs>
        <w:tab w:val="center" w:pos="4677"/>
        <w:tab w:val="right" w:pos="9355"/>
      </w:tabs>
    </w:pPr>
  </w:style>
  <w:style w:type="character" w:customStyle="1" w:styleId="a4">
    <w:name w:val="Верхний колонтитул Знак"/>
    <w:basedOn w:val="a0"/>
    <w:link w:val="a3"/>
    <w:uiPriority w:val="99"/>
    <w:rsid w:val="00AA6697"/>
  </w:style>
  <w:style w:type="character" w:customStyle="1" w:styleId="ConsPlusTitle0">
    <w:name w:val="ConsPlusTitle Знак"/>
    <w:basedOn w:val="a0"/>
    <w:link w:val="ConsPlusTitle"/>
    <w:uiPriority w:val="99"/>
    <w:rsid w:val="00AA6697"/>
    <w:rPr>
      <w:rFonts w:ascii="Arial" w:eastAsia="Calibri" w:hAnsi="Arial" w:cs="Arial"/>
      <w:b/>
      <w:bCs/>
      <w:sz w:val="20"/>
      <w:szCs w:val="20"/>
      <w:lang w:eastAsia="ar-SA"/>
    </w:rPr>
  </w:style>
  <w:style w:type="character" w:customStyle="1" w:styleId="ConsPlusNormal0">
    <w:name w:val="ConsPlusNormal Знак"/>
    <w:link w:val="ConsPlusNormal"/>
    <w:locked/>
    <w:rsid w:val="00AA6697"/>
    <w:rPr>
      <w:rFonts w:ascii="Arial" w:hAnsi="Arial" w:cs="Arial"/>
      <w:sz w:val="20"/>
      <w:szCs w:val="20"/>
    </w:rPr>
  </w:style>
  <w:style w:type="paragraph" w:styleId="a5">
    <w:name w:val="footer"/>
    <w:basedOn w:val="a"/>
    <w:link w:val="a6"/>
    <w:uiPriority w:val="99"/>
    <w:unhideWhenUsed/>
    <w:rsid w:val="00AA6697"/>
    <w:pPr>
      <w:tabs>
        <w:tab w:val="center" w:pos="4677"/>
        <w:tab w:val="right" w:pos="9355"/>
      </w:tabs>
    </w:pPr>
  </w:style>
  <w:style w:type="character" w:customStyle="1" w:styleId="a6">
    <w:name w:val="Нижний колонтитул Знак"/>
    <w:basedOn w:val="a0"/>
    <w:link w:val="a5"/>
    <w:uiPriority w:val="99"/>
    <w:rsid w:val="00AA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7081;fld=134;dst=100010" TargetMode="External"/><Relationship Id="rId3" Type="http://schemas.openxmlformats.org/officeDocument/2006/relationships/webSettings" Target="webSettings.xml"/><Relationship Id="rId7" Type="http://schemas.openxmlformats.org/officeDocument/2006/relationships/hyperlink" Target="consultantplus://offline/main?base=LAW;n=100256;fld=134;dst=10030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consultantplus://offline/main?base=LAW;n=71975;fld=134;dst=100009" TargetMode="External"/><Relationship Id="rId4" Type="http://schemas.openxmlformats.org/officeDocument/2006/relationships/footnotes" Target="footnotes.xml"/><Relationship Id="rId9" Type="http://schemas.openxmlformats.org/officeDocument/2006/relationships/hyperlink" Target="consultantplus://offline/main?base=RLAW095;n=62778;fld=134;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3426</Words>
  <Characters>19534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26kab3</dc:creator>
  <cp:lastModifiedBy>admin</cp:lastModifiedBy>
  <cp:revision>3</cp:revision>
  <dcterms:created xsi:type="dcterms:W3CDTF">2024-03-19T13:26:00Z</dcterms:created>
  <dcterms:modified xsi:type="dcterms:W3CDTF">2024-03-27T09:39:00Z</dcterms:modified>
</cp:coreProperties>
</file>