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A1" w:rsidRPr="00CC44C8" w:rsidRDefault="008E08A1" w:rsidP="008E08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E08A1" w:rsidRDefault="008E08A1" w:rsidP="008E08A1">
      <w:pPr>
        <w:rPr>
          <w:rFonts w:ascii="Times New Roman" w:hAnsi="Times New Roman" w:cs="Times New Roman"/>
          <w:b/>
          <w:sz w:val="28"/>
          <w:szCs w:val="28"/>
        </w:rPr>
      </w:pPr>
    </w:p>
    <w:p w:rsidR="000778C7" w:rsidRDefault="000778C7" w:rsidP="00077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Pr="00CC44C8" w:rsidRDefault="008E08A1" w:rsidP="008E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>
        <w:rPr>
          <w:rFonts w:ascii="Times New Roman" w:hAnsi="Times New Roman" w:cs="Times New Roman"/>
          <w:b/>
          <w:sz w:val="28"/>
          <w:szCs w:val="28"/>
        </w:rPr>
        <w:t>АРНОГСКОГО МУНИЦИПАЛЬНОГО РАЙОНА</w:t>
      </w:r>
    </w:p>
    <w:p w:rsidR="008E08A1" w:rsidRPr="00CC44C8" w:rsidRDefault="008E08A1" w:rsidP="008E08A1">
      <w:pPr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2602865</wp:posOffset>
            </wp:positionH>
            <wp:positionV relativeFrom="page">
              <wp:posOffset>492125</wp:posOffset>
            </wp:positionV>
            <wp:extent cx="594995" cy="72580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E08A1" w:rsidRPr="00CC44C8" w:rsidTr="004E6668">
        <w:tc>
          <w:tcPr>
            <w:tcW w:w="588" w:type="dxa"/>
          </w:tcPr>
          <w:p w:rsidR="008E08A1" w:rsidRPr="008D4ED1" w:rsidRDefault="008E08A1" w:rsidP="004E66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E08A1" w:rsidRPr="000778C7" w:rsidRDefault="000778C7" w:rsidP="000778C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484" w:type="dxa"/>
          </w:tcPr>
          <w:p w:rsidR="008E08A1" w:rsidRPr="008D4ED1" w:rsidRDefault="008E08A1" w:rsidP="004E66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E08A1" w:rsidRPr="000778C7" w:rsidRDefault="000778C7" w:rsidP="000778C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E08A1" w:rsidRPr="00CC44C8" w:rsidRDefault="008E08A1" w:rsidP="008E08A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8E08A1" w:rsidRPr="00CC44C8" w:rsidTr="000778C7">
        <w:tc>
          <w:tcPr>
            <w:tcW w:w="2791" w:type="dxa"/>
          </w:tcPr>
          <w:p w:rsidR="008E08A1" w:rsidRDefault="008E08A1" w:rsidP="004E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8E08A1" w:rsidRPr="00CC44C8" w:rsidRDefault="008E08A1" w:rsidP="004E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8E08A1" w:rsidRPr="003E3C99" w:rsidRDefault="008E08A1" w:rsidP="008E08A1">
      <w:pPr>
        <w:spacing w:after="0" w:line="240" w:lineRule="auto"/>
      </w:pPr>
    </w:p>
    <w:p w:rsidR="008E08A1" w:rsidRPr="008E08A1" w:rsidRDefault="008E08A1" w:rsidP="008E08A1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8E08A1">
        <w:rPr>
          <w:rFonts w:ascii="Times New Roman" w:hAnsi="Times New Roman" w:cs="Times New Roman"/>
          <w:sz w:val="28"/>
          <w:szCs w:val="28"/>
        </w:rPr>
        <w:t>Об утверждении Порядка  размещения сведений о доходах, расходах,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района и предоставления этих сведений средствам массовой информации для опубликования</w:t>
      </w:r>
    </w:p>
    <w:p w:rsidR="008E08A1" w:rsidRDefault="008E08A1" w:rsidP="00810B99">
      <w:pPr>
        <w:spacing w:after="0" w:line="240" w:lineRule="auto"/>
      </w:pPr>
    </w:p>
    <w:p w:rsidR="008E08A1" w:rsidRPr="006F3D80" w:rsidRDefault="008E08A1" w:rsidP="0081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D80">
        <w:rPr>
          <w:rFonts w:ascii="Times New Roman" w:hAnsi="Times New Roman" w:cs="Times New Roman"/>
          <w:sz w:val="28"/>
          <w:szCs w:val="28"/>
        </w:rPr>
        <w:t xml:space="preserve">В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с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>Федеральными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от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25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hyperlink r:id="rId7" w:history="1">
        <w:r w:rsidRPr="006F3D80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6F3D80">
        <w:rPr>
          <w:rFonts w:ascii="Times New Roman" w:hAnsi="Times New Roman" w:cs="Times New Roman"/>
          <w:sz w:val="28"/>
          <w:szCs w:val="28"/>
        </w:rPr>
        <w:t xml:space="preserve">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«О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коррупции»,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от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Pr="006F3D80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E761AB">
        <w:rPr>
          <w:rFonts w:ascii="Times New Roman" w:hAnsi="Times New Roman" w:cs="Times New Roman"/>
          <w:sz w:val="28"/>
          <w:szCs w:val="28"/>
        </w:rPr>
        <w:t xml:space="preserve">  </w:t>
      </w:r>
      <w:r w:rsidRPr="006F3D80">
        <w:rPr>
          <w:rFonts w:ascii="Times New Roman" w:hAnsi="Times New Roman" w:cs="Times New Roman"/>
          <w:sz w:val="28"/>
          <w:szCs w:val="28"/>
        </w:rPr>
        <w:t xml:space="preserve">2012 </w:t>
      </w:r>
      <w:r w:rsidR="00E761AB">
        <w:rPr>
          <w:rFonts w:ascii="Times New Roman" w:hAnsi="Times New Roman" w:cs="Times New Roman"/>
          <w:sz w:val="28"/>
          <w:szCs w:val="28"/>
        </w:rPr>
        <w:t xml:space="preserve">  </w:t>
      </w:r>
      <w:r w:rsidRPr="006F3D80">
        <w:rPr>
          <w:rFonts w:ascii="Times New Roman" w:hAnsi="Times New Roman" w:cs="Times New Roman"/>
          <w:sz w:val="28"/>
          <w:szCs w:val="28"/>
        </w:rPr>
        <w:t>года</w:t>
      </w:r>
      <w:r w:rsidR="00E761AB">
        <w:rPr>
          <w:rFonts w:ascii="Times New Roman" w:hAnsi="Times New Roman" w:cs="Times New Roman"/>
          <w:sz w:val="28"/>
          <w:szCs w:val="28"/>
        </w:rPr>
        <w:t xml:space="preserve">    </w:t>
      </w:r>
      <w:r w:rsidRPr="006F3D8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F3D80">
          <w:rPr>
            <w:rFonts w:ascii="Times New Roman" w:hAnsi="Times New Roman" w:cs="Times New Roman"/>
            <w:sz w:val="28"/>
            <w:szCs w:val="28"/>
          </w:rPr>
          <w:t>№ 230-ФЗ</w:t>
        </w:r>
      </w:hyperlink>
      <w:r w:rsidRPr="006F3D80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6F3D8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F3D8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hyperlink r:id="rId9" w:history="1">
        <w:r w:rsidRPr="006F3D8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F3D8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№ 613 «Вопросы противодействия коррупции»,</w:t>
      </w:r>
      <w:r w:rsidR="000778C7"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</w:p>
    <w:p w:rsidR="008E08A1" w:rsidRPr="008E08A1" w:rsidRDefault="008E08A1" w:rsidP="000778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A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78C7">
        <w:rPr>
          <w:rFonts w:ascii="Times New Roman" w:hAnsi="Times New Roman" w:cs="Times New Roman"/>
          <w:b/>
          <w:sz w:val="28"/>
          <w:szCs w:val="28"/>
        </w:rPr>
        <w:t>ЕТ</w:t>
      </w:r>
      <w:r w:rsidRPr="008E08A1">
        <w:rPr>
          <w:rFonts w:ascii="Times New Roman" w:hAnsi="Times New Roman" w:cs="Times New Roman"/>
          <w:b/>
          <w:sz w:val="28"/>
          <w:szCs w:val="28"/>
        </w:rPr>
        <w:t>:</w:t>
      </w:r>
    </w:p>
    <w:p w:rsidR="00772CFE" w:rsidRDefault="008E08A1" w:rsidP="004E334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CF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0" w:history="1">
        <w:r w:rsidR="006F3D80" w:rsidRPr="006F3D80">
          <w:rPr>
            <w:rFonts w:ascii="Times New Roman" w:hAnsi="Times New Roman" w:cs="Times New Roman"/>
            <w:sz w:val="28"/>
            <w:szCs w:val="28"/>
          </w:rPr>
          <w:t>П</w:t>
        </w:r>
        <w:r w:rsidRPr="006F3D80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772CFE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</w:t>
      </w:r>
      <w:r w:rsidR="00772CFE" w:rsidRPr="00772CF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 </w:t>
      </w:r>
      <w:proofErr w:type="spellStart"/>
      <w:r w:rsidR="00772CFE" w:rsidRPr="00772CF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72CFE" w:rsidRPr="00772CFE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органах администрации района</w:t>
      </w:r>
      <w:r w:rsidRPr="00772CFE">
        <w:rPr>
          <w:rFonts w:ascii="Times New Roman" w:hAnsi="Times New Roman" w:cs="Times New Roman"/>
          <w:sz w:val="28"/>
          <w:szCs w:val="28"/>
        </w:rPr>
        <w:t>, и чл</w:t>
      </w:r>
      <w:r w:rsidR="00772CFE" w:rsidRPr="00772CFE">
        <w:rPr>
          <w:rFonts w:ascii="Times New Roman" w:hAnsi="Times New Roman" w:cs="Times New Roman"/>
          <w:sz w:val="28"/>
          <w:szCs w:val="28"/>
        </w:rPr>
        <w:t>енов их семей на официальном сайте администрации района</w:t>
      </w:r>
      <w:r w:rsidRPr="00772CFE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опубликования.</w:t>
      </w:r>
    </w:p>
    <w:p w:rsidR="00772CFE" w:rsidRPr="00A55726" w:rsidRDefault="00772CFE" w:rsidP="004E334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района, руководителям органов администрации района осуществлять размещение сведений  </w:t>
      </w:r>
      <w:r w:rsidRPr="00772CFE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772CF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772CFE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органах администрации района, и членов их семей на официальном сайте администрации района и </w:t>
      </w:r>
      <w:r w:rsidRPr="00772CFE">
        <w:rPr>
          <w:rFonts w:ascii="Times New Roman" w:hAnsi="Times New Roman" w:cs="Times New Roman"/>
          <w:sz w:val="28"/>
          <w:szCs w:val="28"/>
        </w:rPr>
        <w:lastRenderedPageBreak/>
        <w:t>предоставлени</w:t>
      </w:r>
      <w:r w:rsidR="000778C7">
        <w:rPr>
          <w:rFonts w:ascii="Times New Roman" w:hAnsi="Times New Roman" w:cs="Times New Roman"/>
          <w:sz w:val="28"/>
          <w:szCs w:val="28"/>
        </w:rPr>
        <w:t>е</w:t>
      </w:r>
      <w:r w:rsidRPr="00772CFE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</w:t>
      </w:r>
      <w:r w:rsidR="00A55726">
        <w:rPr>
          <w:rFonts w:ascii="Times New Roman" w:hAnsi="Times New Roman" w:cs="Times New Roman"/>
          <w:sz w:val="28"/>
          <w:szCs w:val="28"/>
        </w:rPr>
        <w:t xml:space="preserve"> в </w:t>
      </w:r>
      <w:r w:rsidR="00A5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726" w:rsidRPr="00A55726">
        <w:rPr>
          <w:rFonts w:ascii="Times New Roman" w:hAnsi="Times New Roman" w:cs="Times New Roman"/>
          <w:sz w:val="28"/>
          <w:szCs w:val="28"/>
        </w:rPr>
        <w:t>Порядке</w:t>
      </w:r>
      <w:r w:rsidR="00A55726">
        <w:rPr>
          <w:rFonts w:ascii="Times New Roman" w:hAnsi="Times New Roman" w:cs="Times New Roman"/>
          <w:sz w:val="28"/>
          <w:szCs w:val="28"/>
        </w:rPr>
        <w:t>, утвержденном настоящим постановлением</w:t>
      </w:r>
      <w:r w:rsidRPr="00A557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68B0" w:rsidRDefault="00772CFE" w:rsidP="007468B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468B0">
        <w:rPr>
          <w:rFonts w:ascii="Times New Roman" w:hAnsi="Times New Roman" w:cs="Times New Roman"/>
          <w:sz w:val="28"/>
          <w:szCs w:val="28"/>
        </w:rPr>
        <w:t>:</w:t>
      </w:r>
    </w:p>
    <w:p w:rsidR="00772CFE" w:rsidRDefault="007468B0" w:rsidP="007468B0">
      <w:pPr>
        <w:pStyle w:val="a3"/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CFE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C06D9B">
        <w:rPr>
          <w:rFonts w:ascii="Times New Roman" w:hAnsi="Times New Roman" w:cs="Times New Roman"/>
          <w:sz w:val="28"/>
          <w:szCs w:val="28"/>
        </w:rPr>
        <w:t xml:space="preserve"> </w:t>
      </w:r>
      <w:r w:rsidR="00772C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2CF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72CFE">
        <w:rPr>
          <w:rFonts w:ascii="Times New Roman" w:hAnsi="Times New Roman" w:cs="Times New Roman"/>
          <w:sz w:val="28"/>
          <w:szCs w:val="28"/>
        </w:rPr>
        <w:t xml:space="preserve"> муниципального района от 05.06.2012 года № 197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937157">
        <w:rPr>
          <w:rFonts w:ascii="Times New Roman" w:hAnsi="Times New Roman" w:cs="Times New Roman"/>
          <w:sz w:val="28"/>
          <w:szCs w:val="28"/>
        </w:rPr>
        <w:t>, муниципальных служащих и членов их семей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предоставления этих сведений общероссийским средствам массовой информации</w:t>
      </w:r>
      <w:r w:rsidR="00C06D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8B0" w:rsidRDefault="007468B0" w:rsidP="007468B0">
      <w:pPr>
        <w:pStyle w:val="a3"/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C0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11.03.2016</w:t>
      </w:r>
      <w:r w:rsidR="0007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77 «О внесении изменений в постановление  администрации района от 05.06.2012</w:t>
      </w:r>
      <w:r w:rsidR="0007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468B0">
        <w:rPr>
          <w:rFonts w:ascii="Times New Roman" w:hAnsi="Times New Roman" w:cs="Times New Roman"/>
          <w:sz w:val="28"/>
          <w:szCs w:val="28"/>
        </w:rPr>
        <w:t>№ 197</w:t>
      </w:r>
      <w:r w:rsidR="000778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8B0" w:rsidRPr="007468B0" w:rsidRDefault="007468B0" w:rsidP="007468B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7468B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468B0">
        <w:rPr>
          <w:rFonts w:ascii="Times New Roman" w:hAnsi="Times New Roman" w:cs="Times New Roman"/>
          <w:sz w:val="28"/>
          <w:szCs w:val="28"/>
        </w:rPr>
        <w:t xml:space="preserve"> его подписания,</w:t>
      </w:r>
      <w:r w:rsidRPr="007468B0">
        <w:rPr>
          <w:b/>
          <w:sz w:val="28"/>
          <w:szCs w:val="28"/>
        </w:rPr>
        <w:t xml:space="preserve"> </w:t>
      </w:r>
      <w:r w:rsidRPr="007468B0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4E334E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 w:rsidR="004E334E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4E334E">
        <w:rPr>
          <w:rFonts w:ascii="Times New Roman" w:hAnsi="Times New Roman" w:cs="Times New Roman"/>
          <w:sz w:val="28"/>
          <w:szCs w:val="28"/>
        </w:rPr>
        <w:t>»</w:t>
      </w:r>
      <w:r w:rsidR="004E334E" w:rsidRPr="004E334E">
        <w:rPr>
          <w:rFonts w:ascii="Times New Roman" w:hAnsi="Times New Roman" w:cs="Times New Roman"/>
          <w:sz w:val="28"/>
          <w:szCs w:val="28"/>
        </w:rPr>
        <w:t xml:space="preserve"> </w:t>
      </w:r>
      <w:r w:rsidRPr="007468B0">
        <w:rPr>
          <w:rFonts w:ascii="Times New Roman" w:hAnsi="Times New Roman" w:cs="Times New Roman"/>
          <w:sz w:val="28"/>
          <w:szCs w:val="28"/>
        </w:rPr>
        <w:t>и размещению на официальном сайте администрации района в информационно-телекоммуникационной сети «Интернет».</w:t>
      </w:r>
    </w:p>
    <w:p w:rsidR="007468B0" w:rsidRDefault="007468B0" w:rsidP="007468B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34E" w:rsidRPr="007A34FD" w:rsidRDefault="004E334E" w:rsidP="007468B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68B0" w:rsidRDefault="000778C7" w:rsidP="007468B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</w:t>
      </w:r>
      <w:r w:rsidR="007468B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468B0" w:rsidRPr="00283E86" w:rsidRDefault="007468B0" w:rsidP="007468B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</w:t>
      </w:r>
      <w:r w:rsidR="000778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778C7">
        <w:rPr>
          <w:rFonts w:ascii="Times New Roman" w:hAnsi="Times New Roman" w:cs="Times New Roman"/>
          <w:sz w:val="28"/>
          <w:szCs w:val="28"/>
        </w:rPr>
        <w:t>Н.А.Шамонин</w:t>
      </w:r>
      <w:proofErr w:type="spellEnd"/>
    </w:p>
    <w:p w:rsidR="007468B0" w:rsidRPr="00AF3DC6" w:rsidRDefault="007468B0" w:rsidP="007468B0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468B0" w:rsidRDefault="007468B0" w:rsidP="007468B0">
      <w:pPr>
        <w:pStyle w:val="a3"/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8B0" w:rsidRPr="007468B0" w:rsidRDefault="007468B0" w:rsidP="007468B0">
      <w:pPr>
        <w:pStyle w:val="a3"/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/>
    <w:p w:rsidR="008E08A1" w:rsidRDefault="008E08A1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A75279" w:rsidRDefault="00A7527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75279" w:rsidTr="00A75279">
        <w:tc>
          <w:tcPr>
            <w:tcW w:w="5353" w:type="dxa"/>
          </w:tcPr>
          <w:p w:rsidR="00A75279" w:rsidRDefault="00A75279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A75279" w:rsidRPr="007468B0" w:rsidRDefault="00A75279" w:rsidP="00A7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75279" w:rsidRDefault="00A75279" w:rsidP="00A7527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01.02.202</w:t>
            </w: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37</w:t>
            </w:r>
          </w:p>
        </w:tc>
      </w:tr>
    </w:tbl>
    <w:p w:rsidR="00A75279" w:rsidRPr="00A75279" w:rsidRDefault="00A75279">
      <w:pPr>
        <w:rPr>
          <w:sz w:val="28"/>
          <w:szCs w:val="28"/>
        </w:rPr>
      </w:pPr>
    </w:p>
    <w:p w:rsidR="007468B0" w:rsidRDefault="007468B0" w:rsidP="006F3D80">
      <w:pPr>
        <w:spacing w:after="0" w:line="240" w:lineRule="auto"/>
        <w:jc w:val="right"/>
      </w:pPr>
    </w:p>
    <w:p w:rsidR="007468B0" w:rsidRPr="006F3D80" w:rsidRDefault="00840469" w:rsidP="006F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7468B0" w:rsidRPr="006F3D80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7468B0" w:rsidRPr="006F3D80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7468B0" w:rsidRPr="006F3D80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7468B0" w:rsidRPr="006F3D8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органах администрации района, и членов их семей на официальном сайте администрации района и предоставления этих сведений средствам массовой информации для опубликования</w:t>
      </w:r>
    </w:p>
    <w:p w:rsidR="007468B0" w:rsidRPr="006F3D80" w:rsidRDefault="007468B0" w:rsidP="006F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80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6F3D80" w:rsidRDefault="006F3D80" w:rsidP="006F3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BF61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615C">
        <w:rPr>
          <w:rFonts w:ascii="Times New Roman" w:hAnsi="Times New Roman" w:cs="Times New Roman"/>
          <w:sz w:val="28"/>
          <w:szCs w:val="28"/>
        </w:rPr>
        <w:t>Наст</w:t>
      </w:r>
      <w:r w:rsidR="00FC13ED" w:rsidRPr="00BF615C">
        <w:rPr>
          <w:rFonts w:ascii="Times New Roman" w:hAnsi="Times New Roman" w:cs="Times New Roman"/>
          <w:sz w:val="28"/>
          <w:szCs w:val="28"/>
        </w:rPr>
        <w:t>оящим П</w:t>
      </w:r>
      <w:r w:rsidRPr="00BF615C">
        <w:rPr>
          <w:rFonts w:ascii="Times New Roman" w:hAnsi="Times New Roman" w:cs="Times New Roman"/>
          <w:sz w:val="28"/>
          <w:szCs w:val="28"/>
        </w:rPr>
        <w:t xml:space="preserve">орядком устанавливаются обязанности администрации </w:t>
      </w:r>
      <w:proofErr w:type="spellStart"/>
      <w:r w:rsidRPr="00BF615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BF615C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органов администрации района по размещению сведений о доходах, расходах, об имуществе и обязательствах имущественного характера лиц, замещающих должности  муниципальной службы, включенные в перечень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утвержденный</w:t>
      </w:r>
      <w:r w:rsidRPr="00BF615C">
        <w:rPr>
          <w:rFonts w:ascii="Times New Roman" w:hAnsi="Times New Roman" w:cs="Times New Roman"/>
          <w:sz w:val="28"/>
          <w:szCs w:val="28"/>
        </w:rPr>
        <w:t xml:space="preserve"> 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</w:t>
      </w:r>
      <w:proofErr w:type="spellStart"/>
      <w:r w:rsidR="00D063B8" w:rsidRPr="00BF615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муниципального района от 13.01.2020</w:t>
      </w:r>
      <w:r w:rsidR="002C03F4">
        <w:rPr>
          <w:rFonts w:ascii="Times New Roman" w:hAnsi="Times New Roman" w:cs="Times New Roman"/>
          <w:sz w:val="28"/>
          <w:szCs w:val="28"/>
        </w:rPr>
        <w:t xml:space="preserve"> </w:t>
      </w:r>
      <w:r w:rsidR="00D063B8" w:rsidRPr="00BF615C">
        <w:rPr>
          <w:rFonts w:ascii="Times New Roman" w:hAnsi="Times New Roman" w:cs="Times New Roman"/>
          <w:sz w:val="28"/>
          <w:szCs w:val="28"/>
        </w:rPr>
        <w:t>г. № 3 «Об утверждении перечня должностей муниципальной службы</w:t>
      </w:r>
      <w:r w:rsidR="00FC13ED" w:rsidRPr="00BF61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3ED" w:rsidRPr="00BF615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C13ED" w:rsidRPr="00BF615C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органов администрации </w:t>
      </w:r>
      <w:proofErr w:type="spellStart"/>
      <w:r w:rsidR="00FC13ED" w:rsidRPr="00BF615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C13ED" w:rsidRPr="00BF61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C13ED" w:rsidRPr="00BF6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3ED" w:rsidRPr="00BF615C">
        <w:rPr>
          <w:rFonts w:ascii="Times New Roman" w:hAnsi="Times New Roman" w:cs="Times New Roman"/>
          <w:sz w:val="28"/>
          <w:szCs w:val="28"/>
        </w:rPr>
        <w:t>района</w:t>
      </w:r>
      <w:r w:rsidR="00D063B8" w:rsidRPr="00BF615C">
        <w:rPr>
          <w:rFonts w:ascii="Times New Roman" w:hAnsi="Times New Roman" w:cs="Times New Roman"/>
          <w:sz w:val="28"/>
          <w:szCs w:val="28"/>
        </w:rPr>
        <w:t>, при 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</w:t>
      </w:r>
      <w:r w:rsidR="00FC13ED" w:rsidRPr="00BF615C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своих супруги (суп</w:t>
      </w:r>
      <w:r w:rsidR="004E334E" w:rsidRPr="00BF615C">
        <w:rPr>
          <w:rFonts w:ascii="Times New Roman" w:hAnsi="Times New Roman" w:cs="Times New Roman"/>
          <w:sz w:val="28"/>
          <w:szCs w:val="28"/>
        </w:rPr>
        <w:t>руга) и несовершеннолетних детей» (с последующими изменениями и дополнениями)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</w:t>
      </w:r>
      <w:r w:rsidR="002C03F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</w:t>
      </w:r>
      <w:r w:rsidR="00D063B8" w:rsidRPr="00BF615C">
        <w:rPr>
          <w:rFonts w:ascii="Times New Roman" w:hAnsi="Times New Roman" w:cs="Times New Roman"/>
          <w:sz w:val="28"/>
          <w:szCs w:val="28"/>
        </w:rPr>
        <w:t>(далее - официальный сайт</w:t>
      </w:r>
      <w:r w:rsidRPr="00BF615C">
        <w:rPr>
          <w:rFonts w:ascii="Times New Roman" w:hAnsi="Times New Roman" w:cs="Times New Roman"/>
          <w:sz w:val="28"/>
          <w:szCs w:val="28"/>
        </w:rPr>
        <w:t>) и предоставлению этих сведений</w:t>
      </w:r>
      <w:proofErr w:type="gramEnd"/>
      <w:r w:rsidRPr="00BF615C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запросами, если иное не предусмотрено федеральными законами.</w:t>
      </w:r>
    </w:p>
    <w:p w:rsidR="001D3CB7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615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0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F615C">
        <w:rPr>
          <w:rFonts w:ascii="Times New Roman" w:hAnsi="Times New Roman" w:cs="Times New Roman"/>
          <w:sz w:val="28"/>
          <w:szCs w:val="28"/>
        </w:rPr>
        <w:t>орядка, а также сведения о доходах, расходах, об имуществе и обязательствах имущественного характера их супруги (супруга) и несовершеннолетних детей размещаются в информаци</w:t>
      </w:r>
      <w:r w:rsidR="00D063B8" w:rsidRPr="00BF615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на официальном сайте администрации</w:t>
      </w:r>
      <w:r w:rsidR="00810B99" w:rsidRPr="00BF6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B99" w:rsidRPr="00BF615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CB7" w:rsidRPr="00BF615C">
        <w:rPr>
          <w:rFonts w:ascii="Times New Roman" w:hAnsi="Times New Roman" w:cs="Times New Roman"/>
          <w:sz w:val="28"/>
          <w:szCs w:val="28"/>
        </w:rPr>
        <w:t xml:space="preserve"> района по форме согласно приложению к настоящему Порядку и предоставляются</w:t>
      </w:r>
      <w:proofErr w:type="gramEnd"/>
      <w:r w:rsidR="001D3CB7" w:rsidRPr="00BF615C">
        <w:rPr>
          <w:rFonts w:ascii="Times New Roman" w:hAnsi="Times New Roman" w:cs="Times New Roman"/>
          <w:sz w:val="28"/>
          <w:szCs w:val="28"/>
        </w:rPr>
        <w:t xml:space="preserve"> для опубликования средствам массовой ин</w:t>
      </w:r>
      <w:r w:rsidR="004E334E" w:rsidRPr="00BF615C">
        <w:rPr>
          <w:rFonts w:ascii="Times New Roman" w:hAnsi="Times New Roman" w:cs="Times New Roman"/>
          <w:sz w:val="28"/>
          <w:szCs w:val="28"/>
        </w:rPr>
        <w:t>формации в связи с их запросами.</w:t>
      </w:r>
      <w:r w:rsidRPr="00BF615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5"/>
      <w:bookmarkEnd w:id="1"/>
    </w:p>
    <w:p w:rsidR="007468B0" w:rsidRPr="00BF615C" w:rsidRDefault="00D063B8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3. На официальном сайте</w:t>
      </w:r>
      <w:r w:rsidR="007468B0" w:rsidRPr="00BF615C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в связи с их запросами </w:t>
      </w:r>
      <w:r w:rsidR="007468B0" w:rsidRPr="00BF615C">
        <w:rPr>
          <w:rFonts w:ascii="Times New Roman" w:hAnsi="Times New Roman" w:cs="Times New Roman"/>
          <w:sz w:val="28"/>
          <w:szCs w:val="28"/>
        </w:rPr>
        <w:lastRenderedPageBreak/>
        <w:t>следующие сведения о доходах, расходах, об имуществе и обязательствах имущественного характера: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15C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 за три последних года, предшествующих отчетному периоду.</w:t>
      </w:r>
      <w:proofErr w:type="gramEnd"/>
    </w:p>
    <w:p w:rsidR="007468B0" w:rsidRPr="00BF615C" w:rsidRDefault="00F5552E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4. В размещаемых на официальном сайте</w:t>
      </w:r>
      <w:r w:rsidR="007468B0" w:rsidRPr="00BF615C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в связи с их запросами сведениях о доходах, расходах, об имуществе и обязательствах имущественного характера запрещается указывать: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15C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F615C">
        <w:rPr>
          <w:rFonts w:ascii="Times New Roman" w:hAnsi="Times New Roman" w:cs="Times New Roman"/>
          <w:sz w:val="28"/>
          <w:szCs w:val="28"/>
        </w:rPr>
        <w:t>орядка) о доходах лица, замещающего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615C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F615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F615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615C" w:rsidRPr="00BF615C">
        <w:rPr>
          <w:rFonts w:ascii="Times New Roman" w:hAnsi="Times New Roman" w:cs="Times New Roman"/>
          <w:sz w:val="28"/>
          <w:szCs w:val="28"/>
        </w:rPr>
        <w:t>П</w:t>
      </w:r>
      <w:r w:rsidRPr="00BF615C">
        <w:rPr>
          <w:rFonts w:ascii="Times New Roman" w:hAnsi="Times New Roman" w:cs="Times New Roman"/>
          <w:sz w:val="28"/>
          <w:szCs w:val="28"/>
        </w:rPr>
        <w:t>орядка, за весь период замещения лицом, замещающим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 xml:space="preserve">, а также сведения о доходах, расходах, об имуществе и </w:t>
      </w:r>
      <w:r w:rsidRPr="00BF615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его супруги (супруга) и несовершеннолетни</w:t>
      </w:r>
      <w:r w:rsidR="00F5552E" w:rsidRPr="00BF615C">
        <w:rPr>
          <w:rFonts w:ascii="Times New Roman" w:hAnsi="Times New Roman" w:cs="Times New Roman"/>
          <w:sz w:val="28"/>
          <w:szCs w:val="28"/>
        </w:rPr>
        <w:t>х детей находятся на официальном сайте администрации</w:t>
      </w:r>
      <w:r w:rsidR="00BF615C" w:rsidRPr="00BF6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15C" w:rsidRPr="00BF615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BF615C" w:rsidRPr="00BF61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F615C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</w:t>
      </w:r>
      <w:proofErr w:type="gramEnd"/>
      <w:r w:rsidRPr="00BF615C"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6.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Управление делами администрации района,</w:t>
      </w:r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лица, о</w:t>
      </w:r>
      <w:r w:rsidR="001D3CB7" w:rsidRPr="00BF615C">
        <w:rPr>
          <w:rFonts w:ascii="Times New Roman" w:hAnsi="Times New Roman" w:cs="Times New Roman"/>
          <w:sz w:val="28"/>
          <w:szCs w:val="28"/>
        </w:rPr>
        <w:t>тветственные за кадровое делопроизводство</w:t>
      </w:r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в 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орг</w:t>
      </w:r>
      <w:r w:rsidR="00810B99" w:rsidRPr="00BF615C">
        <w:rPr>
          <w:rFonts w:ascii="Times New Roman" w:hAnsi="Times New Roman" w:cs="Times New Roman"/>
          <w:sz w:val="28"/>
          <w:szCs w:val="28"/>
        </w:rPr>
        <w:t>анах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F615C">
        <w:rPr>
          <w:rFonts w:ascii="Times New Roman" w:hAnsi="Times New Roman" w:cs="Times New Roman"/>
          <w:sz w:val="28"/>
          <w:szCs w:val="28"/>
        </w:rPr>
        <w:t>: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7A34F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F615C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7468B0" w:rsidRPr="00BF615C" w:rsidRDefault="007468B0" w:rsidP="006F3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B0" w:rsidRPr="00BF615C" w:rsidRDefault="007468B0" w:rsidP="006F3D80">
      <w:pPr>
        <w:spacing w:after="0" w:line="240" w:lineRule="auto"/>
        <w:jc w:val="center"/>
      </w:pPr>
    </w:p>
    <w:p w:rsidR="006F3D80" w:rsidRPr="00BF615C" w:rsidRDefault="006F3D80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2C39BD" w:rsidRDefault="002C39BD" w:rsidP="002C39BD">
      <w:pPr>
        <w:spacing w:after="0" w:line="240" w:lineRule="auto"/>
        <w:sectPr w:rsidR="002C39BD" w:rsidSect="0007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513"/>
      </w:tblGrid>
      <w:tr w:rsidR="002C39BD" w:rsidTr="0017526A">
        <w:tc>
          <w:tcPr>
            <w:tcW w:w="7479" w:type="dxa"/>
          </w:tcPr>
          <w:p w:rsidR="002C39BD" w:rsidRDefault="002C39BD" w:rsidP="002C3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C39BD" w:rsidRPr="002C39BD" w:rsidRDefault="002C39BD" w:rsidP="002C3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9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Порядку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proofErr w:type="spellStart"/>
            <w:r w:rsidRPr="002C39BD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2C39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органах администрации района, и членов их семей на официальном сайте администрации района 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02F89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0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902F89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2C39BD" w:rsidRDefault="002C39BD" w:rsidP="002C3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D3CB7" w:rsidRPr="0017526A" w:rsidRDefault="001D3CB7" w:rsidP="001D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имущественного характера лиц, замещающих должности</w:t>
      </w:r>
    </w:p>
    <w:p w:rsidR="002C39BD" w:rsidRDefault="002C39BD" w:rsidP="002C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органах администрации района</w:t>
      </w:r>
      <w:r w:rsidR="001D3C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526A" w:rsidRDefault="001D3CB7" w:rsidP="0017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C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января 20__ года</w:t>
      </w:r>
      <w:r w:rsidR="002C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31 декабря 20__ года</w:t>
      </w:r>
    </w:p>
    <w:p w:rsidR="0017526A" w:rsidRPr="0017526A" w:rsidRDefault="0017526A" w:rsidP="0017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70"/>
        <w:gridCol w:w="1560"/>
        <w:gridCol w:w="1729"/>
        <w:gridCol w:w="1191"/>
        <w:gridCol w:w="1474"/>
        <w:gridCol w:w="1984"/>
        <w:gridCol w:w="1843"/>
        <w:gridCol w:w="3402"/>
      </w:tblGrid>
      <w:tr w:rsidR="001D3CB7" w:rsidTr="0017526A">
        <w:tc>
          <w:tcPr>
            <w:tcW w:w="660" w:type="dxa"/>
            <w:vMerge w:val="restart"/>
          </w:tcPr>
          <w:p w:rsidR="001D3CB7" w:rsidRPr="002C39BD" w:rsidRDefault="002C39BD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0" w:type="dxa"/>
            <w:vMerge w:val="restart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560" w:type="dxa"/>
            <w:vMerge w:val="restart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4394" w:type="dxa"/>
            <w:gridSpan w:val="3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</w:tcPr>
          <w:p w:rsidR="00902F89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транспортных средств, принадлежащих </w:t>
            </w:r>
          </w:p>
          <w:p w:rsidR="00C921E3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собственности </w:t>
            </w:r>
          </w:p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Декларированный доход за 20__ год (руб.)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D3CB7" w:rsidRPr="00C921E3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объекта недвижимого имущества, транспортного средства, ценных бумаг (долей участия, паев в уставных (складочных) капиталах организаций)</w:t>
            </w:r>
            <w:r w:rsidR="002C39BD"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цифровых финансовых активов, цифровой валюты</w:t>
            </w:r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если сумма сделки превышает общий доход лица, замещающего до</w:t>
            </w:r>
            <w:r w:rsidR="0009233C"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лжность муниципальной службы в а</w:t>
            </w:r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дминистрации</w:t>
            </w:r>
            <w:r w:rsidR="0009233C"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и органах администрации района</w:t>
            </w:r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 его супруги (супруга) за три последних года, предшествующих совершению</w:t>
            </w:r>
            <w:proofErr w:type="gramEnd"/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сделки</w:t>
            </w:r>
          </w:p>
        </w:tc>
      </w:tr>
      <w:tr w:rsidR="001D3CB7" w:rsidTr="0017526A">
        <w:tc>
          <w:tcPr>
            <w:tcW w:w="660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1" w:type="dxa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74" w:type="dxa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B7" w:rsidTr="0017526A">
        <w:tc>
          <w:tcPr>
            <w:tcW w:w="6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CB7" w:rsidTr="0017526A">
        <w:tc>
          <w:tcPr>
            <w:tcW w:w="6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3CB7" w:rsidSect="0017526A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6069"/>
    <w:multiLevelType w:val="hybridMultilevel"/>
    <w:tmpl w:val="533ED65A"/>
    <w:lvl w:ilvl="0" w:tplc="67E8CD8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628BD"/>
    <w:multiLevelType w:val="multilevel"/>
    <w:tmpl w:val="8C6CA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8A1"/>
    <w:rsid w:val="000778C7"/>
    <w:rsid w:val="0009233C"/>
    <w:rsid w:val="000B6AB9"/>
    <w:rsid w:val="0017526A"/>
    <w:rsid w:val="001D3CB7"/>
    <w:rsid w:val="002C03F4"/>
    <w:rsid w:val="002C1EC6"/>
    <w:rsid w:val="002C39BD"/>
    <w:rsid w:val="004E334E"/>
    <w:rsid w:val="006F3D80"/>
    <w:rsid w:val="007468B0"/>
    <w:rsid w:val="00772CFE"/>
    <w:rsid w:val="007A34FD"/>
    <w:rsid w:val="00810B99"/>
    <w:rsid w:val="00840469"/>
    <w:rsid w:val="008E08A1"/>
    <w:rsid w:val="00902F89"/>
    <w:rsid w:val="00915B84"/>
    <w:rsid w:val="00937157"/>
    <w:rsid w:val="00A55726"/>
    <w:rsid w:val="00A75279"/>
    <w:rsid w:val="00BF615C"/>
    <w:rsid w:val="00C06D9B"/>
    <w:rsid w:val="00C921E3"/>
    <w:rsid w:val="00D063B8"/>
    <w:rsid w:val="00E029EE"/>
    <w:rsid w:val="00E761AB"/>
    <w:rsid w:val="00F04D61"/>
    <w:rsid w:val="00F5552E"/>
    <w:rsid w:val="00FC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FE"/>
    <w:pPr>
      <w:ind w:left="720"/>
      <w:contextualSpacing/>
    </w:pPr>
  </w:style>
  <w:style w:type="table" w:styleId="a4">
    <w:name w:val="Table Grid"/>
    <w:basedOn w:val="a1"/>
    <w:uiPriority w:val="59"/>
    <w:rsid w:val="0074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EF7033D4892DAD3A45ABA3ED4C8093D43DF04632129E0967948B5DB6CFE554E1B42B45D69B0F16378685709C824DC0001F7EF74165793F6C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9EF7033D4892DAD3A45ABA3ED4C8093D43DF04662E29E0967948B5DB6CFE554E1B42B25E62E4A6232631044C8329DF1F1DF7ECF6CB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9EF7033D4892DAD3A444B728B8960D3B4D8901652F2AB2CA2E4EE2843CF8000E5B44E11E2DBDF667733C074F967D8F454AFAEC6B0A57907445268DF7C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9EF7033D4892DAD3A444B728B8960D3B4D8901652F2AB2CA2E4EE2843CF8000E5B44E11E2DBDF667733C074F967D8F454AFAEC6B0A57907445268DF7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EF7033D4892DAD3A45ABA3ED4C8093D41D70B652129E0967948B5DB6CFE554E1B42B45D69B0F36E78685709C824DC0001F7EF74165793F6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4429-025B-4B90-AFD6-CB85E1D9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cp:lastPrinted>2021-02-02T09:23:00Z</cp:lastPrinted>
  <dcterms:created xsi:type="dcterms:W3CDTF">2021-02-02T08:43:00Z</dcterms:created>
  <dcterms:modified xsi:type="dcterms:W3CDTF">2021-02-02T09:27:00Z</dcterms:modified>
</cp:coreProperties>
</file>