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05" w:rsidRDefault="00872A05" w:rsidP="00872A05">
      <w:pPr>
        <w:pStyle w:val="ConsPlusNormal"/>
        <w:outlineLvl w:val="0"/>
      </w:pPr>
    </w:p>
    <w:p w:rsidR="00872A05" w:rsidRDefault="00872A05" w:rsidP="00872A05">
      <w:pPr>
        <w:pStyle w:val="ConsPlusTitle"/>
        <w:jc w:val="center"/>
      </w:pPr>
    </w:p>
    <w:p w:rsidR="00872A05" w:rsidRDefault="00872A05" w:rsidP="00872A05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872A05" w:rsidRDefault="00872A05" w:rsidP="00872A05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872A05" w:rsidRDefault="00872A05" w:rsidP="00872A05">
      <w:pPr>
        <w:jc w:val="center"/>
        <w:rPr>
          <w:b/>
          <w:szCs w:val="28"/>
        </w:rPr>
      </w:pPr>
      <w:r>
        <w:rPr>
          <w:b/>
          <w:szCs w:val="28"/>
        </w:rPr>
        <w:t>АДМИНИСТРАЦИЯ ТАРНОГСКОГО МУНИЦИПАЛЬНОГО ОКРУГА</w:t>
      </w:r>
    </w:p>
    <w:p w:rsidR="00872A05" w:rsidRPr="003F69B6" w:rsidRDefault="00872A05" w:rsidP="00872A05">
      <w:pPr>
        <w:jc w:val="center"/>
        <w:rPr>
          <w:b/>
          <w:szCs w:val="28"/>
        </w:rPr>
      </w:pPr>
    </w:p>
    <w:p w:rsidR="00872A05" w:rsidRDefault="00872A05" w:rsidP="00872A05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2577465</wp:posOffset>
            </wp:positionH>
            <wp:positionV relativeFrom="page">
              <wp:posOffset>533400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872A05" w:rsidRDefault="00872A05" w:rsidP="00872A05">
      <w:pPr>
        <w:jc w:val="center"/>
        <w:rPr>
          <w:b/>
          <w:sz w:val="40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872A05" w:rsidTr="00872A05">
        <w:tc>
          <w:tcPr>
            <w:tcW w:w="588" w:type="dxa"/>
            <w:hideMark/>
          </w:tcPr>
          <w:p w:rsidR="00872A05" w:rsidRDefault="00872A05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2A05" w:rsidRDefault="003F69B6" w:rsidP="003F69B6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676155">
              <w:rPr>
                <w:szCs w:val="28"/>
              </w:rPr>
              <w:t>.01.2023</w:t>
            </w:r>
            <w:r w:rsidR="00872A05">
              <w:rPr>
                <w:szCs w:val="28"/>
              </w:rPr>
              <w:t xml:space="preserve"> </w:t>
            </w:r>
          </w:p>
        </w:tc>
        <w:tc>
          <w:tcPr>
            <w:tcW w:w="484" w:type="dxa"/>
            <w:hideMark/>
          </w:tcPr>
          <w:p w:rsidR="00872A05" w:rsidRDefault="00872A05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2A05" w:rsidRDefault="003F69B6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</w:tr>
    </w:tbl>
    <w:p w:rsidR="00872A05" w:rsidRPr="003F69B6" w:rsidRDefault="00872A05" w:rsidP="00872A05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872A05" w:rsidTr="003F69B6">
        <w:tc>
          <w:tcPr>
            <w:tcW w:w="2933" w:type="dxa"/>
            <w:hideMark/>
          </w:tcPr>
          <w:p w:rsidR="00872A05" w:rsidRDefault="00872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872A05" w:rsidRDefault="00872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872A05" w:rsidRPr="003F69B6" w:rsidRDefault="00872A05" w:rsidP="00872A05">
      <w:pPr>
        <w:rPr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3F69B6" w:rsidTr="003F69B6">
        <w:tc>
          <w:tcPr>
            <w:tcW w:w="3936" w:type="dxa"/>
          </w:tcPr>
          <w:p w:rsidR="003F69B6" w:rsidRDefault="003F69B6" w:rsidP="003F69B6">
            <w:pPr>
              <w:pStyle w:val="ConsPlusTitle"/>
              <w:jc w:val="both"/>
            </w:pPr>
            <w:r>
              <w:rPr>
                <w:b w:val="0"/>
                <w:sz w:val="28"/>
                <w:szCs w:val="28"/>
              </w:rPr>
              <w:t>О нормах расхода топлив и смазочных материалов на автомобильном транспорте</w:t>
            </w:r>
          </w:p>
        </w:tc>
        <w:tc>
          <w:tcPr>
            <w:tcW w:w="5635" w:type="dxa"/>
          </w:tcPr>
          <w:p w:rsidR="003F69B6" w:rsidRDefault="003F69B6" w:rsidP="003F69B6">
            <w:pPr>
              <w:pStyle w:val="ConsPlusTitle"/>
            </w:pPr>
          </w:p>
        </w:tc>
      </w:tr>
    </w:tbl>
    <w:p w:rsidR="003F69B6" w:rsidRDefault="003F69B6" w:rsidP="003F69B6">
      <w:pPr>
        <w:pStyle w:val="ConsPlusTitle"/>
      </w:pPr>
    </w:p>
    <w:p w:rsidR="003F69B6" w:rsidRDefault="003F69B6" w:rsidP="00872A05">
      <w:pPr>
        <w:pStyle w:val="ConsPlusTitle"/>
        <w:jc w:val="center"/>
      </w:pPr>
    </w:p>
    <w:p w:rsidR="00872A05" w:rsidRDefault="00872A05" w:rsidP="00872A0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организации учета и контроля расхода топлив и смазочных материалов</w:t>
      </w:r>
      <w:r w:rsidR="003F69B6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</w:t>
      </w:r>
      <w:proofErr w:type="spellStart"/>
      <w:r w:rsidR="00676155"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</w:t>
      </w:r>
      <w:r w:rsidR="0067615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76155">
        <w:rPr>
          <w:sz w:val="28"/>
          <w:szCs w:val="28"/>
        </w:rPr>
        <w:t xml:space="preserve">округа, </w:t>
      </w:r>
      <w:r>
        <w:rPr>
          <w:sz w:val="28"/>
          <w:szCs w:val="28"/>
        </w:rPr>
        <w:t xml:space="preserve">администрация </w:t>
      </w:r>
      <w:r w:rsidR="003F69B6">
        <w:rPr>
          <w:sz w:val="28"/>
          <w:szCs w:val="28"/>
        </w:rPr>
        <w:t>округа</w:t>
      </w:r>
    </w:p>
    <w:p w:rsidR="00872A05" w:rsidRDefault="00872A05" w:rsidP="00872A0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72A05" w:rsidRDefault="00872A05" w:rsidP="00872A0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Муниципальным учреждениям,</w:t>
      </w:r>
      <w:r w:rsidR="00676155">
        <w:rPr>
          <w:sz w:val="28"/>
          <w:szCs w:val="28"/>
        </w:rPr>
        <w:t xml:space="preserve"> финансируемым из бюджета округа</w:t>
      </w:r>
      <w:r>
        <w:rPr>
          <w:sz w:val="28"/>
          <w:szCs w:val="28"/>
        </w:rPr>
        <w:t xml:space="preserve">, эксплуатирующим автомобильный транспорт, при выполнении работ и перевозке пассажиров руководствоваться методическими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рекомендациями</w:t>
        </w:r>
      </w:hyperlink>
      <w:r>
        <w:rPr>
          <w:sz w:val="28"/>
          <w:szCs w:val="28"/>
        </w:rPr>
        <w:t xml:space="preserve"> «Нормы расхода топлив и смазочных материалов на автомобильном транспорте», утвержденными распоряжением Министерства транспорта Российской Федерации от 14.03.2008 № АМ-23-р (с учетом последующих изменений).</w:t>
      </w:r>
    </w:p>
    <w:p w:rsidR="00872A05" w:rsidRDefault="00872A05" w:rsidP="00872A0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Базовая норма расхода топлива для автомобильного транспорта устанавливается в литрах на </w:t>
      </w:r>
      <w:smartTag w:uri="urn:schemas-microsoft-com:office:smarttags" w:element="metricconverter">
        <w:smartTagPr>
          <w:attr w:name="ProductID" w:val="100 км"/>
        </w:smartTagPr>
        <w:r>
          <w:rPr>
            <w:sz w:val="28"/>
            <w:szCs w:val="28"/>
          </w:rPr>
          <w:t>100 км</w:t>
        </w:r>
      </w:smartTag>
      <w:r>
        <w:rPr>
          <w:sz w:val="28"/>
          <w:szCs w:val="28"/>
        </w:rPr>
        <w:t xml:space="preserve"> пробега автотранспортного средства  в зависимости от модели, марки и модификации автомобиля.</w:t>
      </w:r>
    </w:p>
    <w:p w:rsidR="00872A05" w:rsidRDefault="00872A05" w:rsidP="00872A0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Установить повышенные нормы расхода топлив для автомобильного транспорта в литрах на </w:t>
      </w:r>
      <w:smartTag w:uri="urn:schemas-microsoft-com:office:smarttags" w:element="metricconverter">
        <w:smartTagPr>
          <w:attr w:name="ProductID" w:val="100 км"/>
        </w:smartTagPr>
        <w:r>
          <w:rPr>
            <w:sz w:val="28"/>
            <w:szCs w:val="28"/>
          </w:rPr>
          <w:t>100 км</w:t>
        </w:r>
      </w:smartTag>
      <w:r>
        <w:rPr>
          <w:sz w:val="28"/>
          <w:szCs w:val="28"/>
        </w:rPr>
        <w:t xml:space="preserve"> пробега от базовой нормы:</w:t>
      </w:r>
    </w:p>
    <w:p w:rsidR="00872A05" w:rsidRDefault="00872A05" w:rsidP="00872A0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 На 10% - при работе в зимнее время года с 1 ноября по 31 марта (конкретный период надбавки устанавливается распоряжением (приказом) юридического лица).</w:t>
      </w:r>
    </w:p>
    <w:p w:rsidR="00872A05" w:rsidRDefault="00872A05" w:rsidP="00872A0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 На 15% - при работе в чрезвычайных климатических и тяжелых дорожных условиях в период сезонной распутицы, снежных или песчаных заносах, при сильном снегопаде и гололедице, наводнениях, лесных пожарах и других стихийных бедствиях (данная надбавка применяется на основании распоряжения (приказа) юридического лица  при эксплуатации автотранспортного средства  на грунтовых дорогах).</w:t>
      </w:r>
    </w:p>
    <w:p w:rsidR="00872A05" w:rsidRDefault="00872A05" w:rsidP="00872A0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10% - при работе в чрезвычайных климатических и тяжелых дорожных условиях в период сезонной распутицы, снежных или песчаных заносах, при </w:t>
      </w:r>
      <w:r>
        <w:rPr>
          <w:sz w:val="28"/>
          <w:szCs w:val="28"/>
        </w:rPr>
        <w:lastRenderedPageBreak/>
        <w:t>сильном снегопаде и гололедице, наводнениях, лесных пожарах и других стихийных бедствиях (данная надбавка применяется на основании распоряжения (приказа) юридического лица  при эксплуатации автотранспортного средства  на дорогах с асфальтовым покрытием).</w:t>
      </w:r>
    </w:p>
    <w:p w:rsidR="00872A05" w:rsidRDefault="00872A05" w:rsidP="00872A0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3.3. На 5% - для автомобилей, находящихся в эксплуатации более 5 лет или  с общим пробегом более 100 тыс. км.</w:t>
      </w:r>
    </w:p>
    <w:p w:rsidR="00872A05" w:rsidRDefault="00872A05" w:rsidP="00872A0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3.4. На 10% - для автомобилей, находящихся в эксплуатации более 8 лет или с общим пробегом более 150 тыс. км.</w:t>
      </w:r>
    </w:p>
    <w:p w:rsidR="00872A05" w:rsidRDefault="00872A05" w:rsidP="00872A0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3.5. На 5% - при использовании кондиционера при движении автомобиля (применение данного коэффициента совместно с зимней надбавкой не допускается).</w:t>
      </w:r>
    </w:p>
    <w:p w:rsidR="00872A05" w:rsidRDefault="00872A05" w:rsidP="00872A0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3.6. На 7% - при использовании  установки «климат-контроль» (независимо от времени года) при движении автомобиля.</w:t>
      </w:r>
    </w:p>
    <w:p w:rsidR="00872A05" w:rsidRDefault="00872A05" w:rsidP="00872A0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3.7. На 5% - при обкатке новых автомобилей и вышедших из капитального ремонта (пробег определяется производителем техники).</w:t>
      </w:r>
    </w:p>
    <w:p w:rsidR="00872A05" w:rsidRDefault="00872A05" w:rsidP="00872A0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необходимости применения одновременно нескольких надбавок норма расхода топлива устанавливается с учетом суммы  этих надбавок.</w:t>
      </w:r>
    </w:p>
    <w:p w:rsidR="00872A05" w:rsidRDefault="00872A05" w:rsidP="00872A0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>
        <w:rPr>
          <w:sz w:val="28"/>
          <w:szCs w:val="28"/>
        </w:rPr>
        <w:t xml:space="preserve">Установить нормативный расход топлива в размере 5 % от базовой нормы из расчета за один час стоянки (простоя) с работающим двигателем в зимнее время года (с 1 ноября по 31 марта) на стоянках при необходимости пуска и прогрева автобусов при перевозках детей (если нет независимых </w:t>
      </w:r>
      <w:proofErr w:type="spellStart"/>
      <w:r>
        <w:rPr>
          <w:sz w:val="28"/>
          <w:szCs w:val="28"/>
        </w:rPr>
        <w:t>отопителей</w:t>
      </w:r>
      <w:proofErr w:type="spellEnd"/>
      <w:r>
        <w:rPr>
          <w:sz w:val="28"/>
          <w:szCs w:val="28"/>
        </w:rPr>
        <w:t>), а также на стоянках в ожидании пассажиров (при перевозках детей) (данная надбавка применяется на основании</w:t>
      </w:r>
      <w:proofErr w:type="gramEnd"/>
      <w:r>
        <w:rPr>
          <w:sz w:val="28"/>
          <w:szCs w:val="28"/>
        </w:rPr>
        <w:t xml:space="preserve"> распоряжения (приказа) юридического лица).</w:t>
      </w:r>
    </w:p>
    <w:p w:rsidR="00872A05" w:rsidRDefault="00872A05" w:rsidP="00872A0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proofErr w:type="gramStart"/>
      <w:r>
        <w:rPr>
          <w:sz w:val="28"/>
          <w:szCs w:val="28"/>
        </w:rPr>
        <w:t xml:space="preserve">Установить нормативный расход топлива в размере 5 % от базовой нормы из расчета за один час стоянки (простоя) с работающим двигателем в зимнее время года (с 1 ноября по 31 марта) на стоянках при необходимости пуска и прогрева автомобилей (если нет независимых </w:t>
      </w:r>
      <w:proofErr w:type="spellStart"/>
      <w:r>
        <w:rPr>
          <w:sz w:val="28"/>
          <w:szCs w:val="28"/>
        </w:rPr>
        <w:t>отопителей</w:t>
      </w:r>
      <w:proofErr w:type="spellEnd"/>
      <w:r>
        <w:rPr>
          <w:sz w:val="28"/>
          <w:szCs w:val="28"/>
        </w:rPr>
        <w:t>), а также на стоянках в ожидании пассажиров (данная надбавка применяется на основании распоряжения (приказа) юридического лица).</w:t>
      </w:r>
      <w:proofErr w:type="gramEnd"/>
    </w:p>
    <w:p w:rsidR="00872A05" w:rsidRDefault="00872A05" w:rsidP="00872A0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Признать утратившими силу:</w:t>
      </w:r>
    </w:p>
    <w:p w:rsidR="00872A05" w:rsidRDefault="00872A05" w:rsidP="00872A0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администрации Тарногс</w:t>
      </w:r>
      <w:r w:rsidR="00676155">
        <w:rPr>
          <w:sz w:val="28"/>
          <w:szCs w:val="28"/>
        </w:rPr>
        <w:t>кого муниципального района от 06.03.2019г. № 120</w:t>
      </w:r>
      <w:r>
        <w:rPr>
          <w:sz w:val="28"/>
          <w:szCs w:val="28"/>
        </w:rPr>
        <w:t xml:space="preserve"> «О нормах расхода топлив и смазочных материалов на автомобильном тра</w:t>
      </w:r>
      <w:r w:rsidR="00676155">
        <w:rPr>
          <w:sz w:val="28"/>
          <w:szCs w:val="28"/>
        </w:rPr>
        <w:t>нспорте» за исключением пункта 6.</w:t>
      </w:r>
    </w:p>
    <w:p w:rsidR="00872A05" w:rsidRDefault="00872A05" w:rsidP="00872A0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 руководителей муниципальных учреждений,</w:t>
      </w:r>
      <w:r w:rsidR="00676155">
        <w:rPr>
          <w:sz w:val="28"/>
          <w:szCs w:val="28"/>
        </w:rPr>
        <w:t xml:space="preserve"> финансируемых из бюджета округа</w:t>
      </w:r>
      <w:r>
        <w:rPr>
          <w:sz w:val="28"/>
          <w:szCs w:val="28"/>
        </w:rPr>
        <w:t>, эксплуатирующих автомобильный транспорт.</w:t>
      </w:r>
    </w:p>
    <w:p w:rsidR="00872A05" w:rsidRDefault="00872A05" w:rsidP="00872A0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Настоящее постановление вступает в силу с момента </w:t>
      </w:r>
      <w:r w:rsidR="003F69B6">
        <w:rPr>
          <w:sz w:val="28"/>
          <w:szCs w:val="28"/>
        </w:rPr>
        <w:t>его принятия</w:t>
      </w:r>
      <w:r>
        <w:rPr>
          <w:sz w:val="28"/>
          <w:szCs w:val="28"/>
        </w:rPr>
        <w:t xml:space="preserve"> и распространяется на право</w:t>
      </w:r>
      <w:r w:rsidR="00676155">
        <w:rPr>
          <w:sz w:val="28"/>
          <w:szCs w:val="28"/>
        </w:rPr>
        <w:t>отношения, возникшие с 1 января 2023</w:t>
      </w:r>
      <w:r>
        <w:rPr>
          <w:sz w:val="28"/>
          <w:szCs w:val="28"/>
        </w:rPr>
        <w:t xml:space="preserve"> года.</w:t>
      </w:r>
    </w:p>
    <w:p w:rsidR="00872A05" w:rsidRDefault="00872A05" w:rsidP="00872A05">
      <w:pPr>
        <w:pStyle w:val="ConsPlusNormal"/>
        <w:ind w:firstLine="709"/>
        <w:jc w:val="both"/>
        <w:rPr>
          <w:sz w:val="28"/>
          <w:szCs w:val="28"/>
        </w:rPr>
      </w:pPr>
    </w:p>
    <w:p w:rsidR="00872A05" w:rsidRDefault="00872A05" w:rsidP="00872A05">
      <w:pPr>
        <w:pStyle w:val="ConsPlusNormal"/>
        <w:jc w:val="both"/>
        <w:rPr>
          <w:sz w:val="28"/>
          <w:szCs w:val="28"/>
        </w:rPr>
      </w:pPr>
    </w:p>
    <w:p w:rsidR="00872A05" w:rsidRDefault="00676155" w:rsidP="00872A0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</w:t>
      </w:r>
      <w:r w:rsidR="00872A05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3F69B6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А.В.</w:t>
      </w:r>
      <w:r w:rsidR="003F69B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Кочкин</w:t>
      </w:r>
      <w:proofErr w:type="spellEnd"/>
    </w:p>
    <w:p w:rsidR="00872A05" w:rsidRDefault="00872A05" w:rsidP="00872A05">
      <w:pPr>
        <w:ind w:firstLine="709"/>
        <w:rPr>
          <w:szCs w:val="28"/>
        </w:rPr>
      </w:pPr>
    </w:p>
    <w:p w:rsidR="00BC63A1" w:rsidRDefault="00BC63A1"/>
    <w:sectPr w:rsidR="00BC63A1" w:rsidSect="00BC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A05"/>
    <w:rsid w:val="00235395"/>
    <w:rsid w:val="002C7A63"/>
    <w:rsid w:val="003F69B6"/>
    <w:rsid w:val="00676155"/>
    <w:rsid w:val="00872A05"/>
    <w:rsid w:val="00BC63A1"/>
    <w:rsid w:val="00CF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72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72A05"/>
    <w:rPr>
      <w:color w:val="0000FF"/>
      <w:u w:val="single"/>
    </w:rPr>
  </w:style>
  <w:style w:type="table" w:styleId="a4">
    <w:name w:val="Table Grid"/>
    <w:basedOn w:val="a1"/>
    <w:uiPriority w:val="59"/>
    <w:rsid w:val="003F6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2D2CA7463C204F8D30FF00961C52EBCCF6A841A2F998D9B13C332A89F7D9CAX8Q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2D2CA7463C204F8D30FF1695700CEFC8F5F24EAAFD938AEE636877DEFED39DCFEE19E54728F2ADXFQ0L" TargetMode="External"/><Relationship Id="rId5" Type="http://schemas.openxmlformats.org/officeDocument/2006/relationships/hyperlink" Target="consultantplus://offline/ref=112D2CA7463C204F8D30FF00961C52EBCCF6A841A2FE9ADBBB3E6E2081AED5C88FXAQE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Zverdvd.org</cp:lastModifiedBy>
  <cp:revision>3</cp:revision>
  <cp:lastPrinted>2023-01-23T08:41:00Z</cp:lastPrinted>
  <dcterms:created xsi:type="dcterms:W3CDTF">2023-01-23T09:15:00Z</dcterms:created>
  <dcterms:modified xsi:type="dcterms:W3CDTF">2023-01-23T09:19:00Z</dcterms:modified>
</cp:coreProperties>
</file>