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D5" w:rsidRDefault="00743AD5" w:rsidP="00743AD5">
      <w:pPr>
        <w:jc w:val="center"/>
        <w:rPr>
          <w:b/>
          <w:sz w:val="28"/>
          <w:szCs w:val="28"/>
        </w:rPr>
      </w:pPr>
    </w:p>
    <w:p w:rsidR="00743AD5" w:rsidRDefault="00743AD5" w:rsidP="00743AD5">
      <w:pPr>
        <w:jc w:val="center"/>
        <w:rPr>
          <w:b/>
          <w:sz w:val="28"/>
          <w:szCs w:val="28"/>
        </w:rPr>
      </w:pPr>
    </w:p>
    <w:p w:rsidR="00743AD5" w:rsidRDefault="00743AD5" w:rsidP="00743AD5">
      <w:pPr>
        <w:jc w:val="center"/>
        <w:rPr>
          <w:b/>
          <w:sz w:val="28"/>
          <w:szCs w:val="28"/>
        </w:rPr>
      </w:pPr>
    </w:p>
    <w:p w:rsidR="00743AD5" w:rsidRDefault="00743AD5" w:rsidP="00743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743AD5" w:rsidRDefault="00743AD5" w:rsidP="00743AD5">
      <w:pPr>
        <w:jc w:val="center"/>
        <w:rPr>
          <w:sz w:val="28"/>
          <w:szCs w:val="28"/>
        </w:rPr>
      </w:pPr>
    </w:p>
    <w:p w:rsidR="00743AD5" w:rsidRDefault="00743AD5" w:rsidP="00743AD5">
      <w:pPr>
        <w:jc w:val="center"/>
        <w:rPr>
          <w:b/>
          <w:sz w:val="40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28"/>
        </w:rPr>
        <w:t>ПОСТАНОВЛЕНИЕ</w:t>
      </w:r>
    </w:p>
    <w:p w:rsidR="00743AD5" w:rsidRDefault="00743AD5" w:rsidP="00743AD5">
      <w:pPr>
        <w:jc w:val="center"/>
        <w:rPr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43AD5" w:rsidTr="00743AD5">
        <w:tc>
          <w:tcPr>
            <w:tcW w:w="588" w:type="dxa"/>
            <w:hideMark/>
          </w:tcPr>
          <w:p w:rsidR="00743AD5" w:rsidRDefault="00743AD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3AD5" w:rsidRDefault="00743AD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484" w:type="dxa"/>
            <w:hideMark/>
          </w:tcPr>
          <w:p w:rsidR="00743AD5" w:rsidRDefault="00743AD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AD5" w:rsidRDefault="00743AD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</w:tr>
    </w:tbl>
    <w:p w:rsidR="00743AD5" w:rsidRDefault="00743AD5" w:rsidP="00743AD5">
      <w:pPr>
        <w:rPr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43AD5" w:rsidTr="00743AD5">
        <w:tc>
          <w:tcPr>
            <w:tcW w:w="2400" w:type="dxa"/>
          </w:tcPr>
          <w:p w:rsidR="00743AD5" w:rsidRDefault="00743AD5">
            <w:pPr>
              <w:jc w:val="center"/>
              <w:rPr>
                <w:szCs w:val="28"/>
              </w:rPr>
            </w:pPr>
          </w:p>
          <w:p w:rsidR="00743AD5" w:rsidRDefault="00743A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Тарногский Городок</w:t>
            </w:r>
          </w:p>
          <w:p w:rsidR="00743AD5" w:rsidRDefault="00743A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Вологодская область</w:t>
            </w:r>
          </w:p>
        </w:tc>
      </w:tr>
    </w:tbl>
    <w:p w:rsidR="00EF195B" w:rsidRPr="005F1446" w:rsidRDefault="00EF195B" w:rsidP="005F144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5F1446" w:rsidRPr="00743AD5" w:rsidRDefault="005F1446" w:rsidP="00743AD5">
      <w:pPr>
        <w:widowControl w:val="0"/>
        <w:ind w:right="4392"/>
        <w:jc w:val="both"/>
        <w:rPr>
          <w:rFonts w:eastAsia="Liberation Serif"/>
          <w:color w:val="000000"/>
          <w:sz w:val="28"/>
          <w:szCs w:val="28"/>
          <w:lang w:eastAsia="zh-CN"/>
        </w:rPr>
      </w:pPr>
      <w:r w:rsidRPr="00743AD5">
        <w:rPr>
          <w:rFonts w:eastAsia="Liberation Serif"/>
          <w:color w:val="000000"/>
          <w:sz w:val="28"/>
          <w:szCs w:val="28"/>
          <w:lang w:eastAsia="zh-CN"/>
        </w:rPr>
        <w:t>Об утверждении Положения о порядке и условиях заключения соглашений</w:t>
      </w:r>
      <w:r w:rsidR="00743AD5">
        <w:rPr>
          <w:rFonts w:eastAsia="Liberation Serif"/>
          <w:color w:val="000000"/>
          <w:sz w:val="28"/>
          <w:szCs w:val="28"/>
          <w:lang w:eastAsia="zh-CN"/>
        </w:rPr>
        <w:t xml:space="preserve"> </w:t>
      </w:r>
      <w:r w:rsidRPr="00743AD5">
        <w:rPr>
          <w:rFonts w:eastAsia="Liberation Serif"/>
          <w:color w:val="000000"/>
          <w:sz w:val="28"/>
          <w:szCs w:val="28"/>
          <w:lang w:eastAsia="zh-CN"/>
        </w:rPr>
        <w:t>о защите и поощрении капиталовл</w:t>
      </w:r>
      <w:r w:rsidR="00743AD5">
        <w:rPr>
          <w:rFonts w:eastAsia="Liberation Serif"/>
          <w:color w:val="000000"/>
          <w:sz w:val="28"/>
          <w:szCs w:val="28"/>
          <w:lang w:eastAsia="zh-CN"/>
        </w:rPr>
        <w:t xml:space="preserve">ожений со стороны администрации </w:t>
      </w:r>
      <w:r w:rsidR="004E7AD7" w:rsidRPr="00743AD5">
        <w:rPr>
          <w:rFonts w:eastAsia="Liberation Serif"/>
          <w:color w:val="000000"/>
          <w:sz w:val="28"/>
          <w:szCs w:val="28"/>
          <w:lang w:eastAsia="zh-CN"/>
        </w:rPr>
        <w:t>Тарногского</w:t>
      </w:r>
      <w:r w:rsidRPr="00743AD5">
        <w:rPr>
          <w:rFonts w:eastAsia="Liberation Serif"/>
          <w:color w:val="000000"/>
          <w:sz w:val="28"/>
          <w:szCs w:val="28"/>
          <w:lang w:eastAsia="zh-CN"/>
        </w:rPr>
        <w:t xml:space="preserve"> муниципального округа </w:t>
      </w:r>
    </w:p>
    <w:p w:rsidR="005F1446" w:rsidRPr="00743AD5" w:rsidRDefault="005F1446" w:rsidP="00743AD5">
      <w:pPr>
        <w:widowControl w:val="0"/>
        <w:rPr>
          <w:sz w:val="28"/>
          <w:szCs w:val="28"/>
          <w:lang w:eastAsia="zh-CN"/>
        </w:rPr>
      </w:pPr>
    </w:p>
    <w:p w:rsidR="00743AD5" w:rsidRDefault="005F1446" w:rsidP="00743AD5">
      <w:pPr>
        <w:widowControl w:val="0"/>
        <w:autoSpaceDE w:val="0"/>
        <w:ind w:firstLine="709"/>
        <w:jc w:val="both"/>
        <w:rPr>
          <w:b/>
          <w:sz w:val="28"/>
          <w:szCs w:val="28"/>
          <w:lang w:eastAsia="zh-CN"/>
        </w:rPr>
      </w:pPr>
      <w:r w:rsidRPr="00743AD5">
        <w:rPr>
          <w:sz w:val="28"/>
          <w:szCs w:val="28"/>
          <w:lang w:eastAsia="zh-CN"/>
        </w:rPr>
        <w:t>В соответствии с частью 8 статьи 4 Федерального закона от 01.04.2020 №</w:t>
      </w:r>
      <w:r w:rsidR="00743AD5">
        <w:rPr>
          <w:sz w:val="28"/>
          <w:szCs w:val="28"/>
          <w:lang w:eastAsia="zh-CN"/>
        </w:rPr>
        <w:t xml:space="preserve"> </w:t>
      </w:r>
      <w:r w:rsidRPr="00743AD5">
        <w:rPr>
          <w:sz w:val="28"/>
          <w:szCs w:val="28"/>
          <w:lang w:eastAsia="zh-CN"/>
        </w:rPr>
        <w:t>69-ФЗ «О защите и поощрении капиталовложений в Российской Федерации»</w:t>
      </w:r>
      <w:r w:rsidR="00743AD5" w:rsidRPr="00743AD5">
        <w:rPr>
          <w:sz w:val="28"/>
          <w:szCs w:val="28"/>
          <w:lang w:eastAsia="zh-CN"/>
        </w:rPr>
        <w:t>,</w:t>
      </w:r>
      <w:r w:rsidR="00743AD5">
        <w:rPr>
          <w:b/>
          <w:sz w:val="28"/>
          <w:szCs w:val="28"/>
          <w:lang w:eastAsia="zh-CN"/>
        </w:rPr>
        <w:t xml:space="preserve"> </w:t>
      </w:r>
      <w:r w:rsidR="00743AD5">
        <w:rPr>
          <w:sz w:val="28"/>
          <w:szCs w:val="28"/>
          <w:lang w:eastAsia="zh-CN"/>
        </w:rPr>
        <w:t>а</w:t>
      </w:r>
      <w:r w:rsidRPr="00743AD5">
        <w:rPr>
          <w:sz w:val="28"/>
          <w:szCs w:val="28"/>
          <w:lang w:eastAsia="zh-CN"/>
        </w:rPr>
        <w:t xml:space="preserve">дминистрация </w:t>
      </w:r>
      <w:r w:rsidR="004E7AD7" w:rsidRPr="00743AD5">
        <w:rPr>
          <w:sz w:val="28"/>
          <w:szCs w:val="28"/>
          <w:lang w:eastAsia="zh-CN"/>
        </w:rPr>
        <w:t>Тарногского</w:t>
      </w:r>
      <w:r w:rsidRPr="00743AD5">
        <w:rPr>
          <w:sz w:val="28"/>
          <w:szCs w:val="28"/>
          <w:lang w:eastAsia="zh-CN"/>
        </w:rPr>
        <w:t xml:space="preserve"> муниципального округа</w:t>
      </w:r>
      <w:r w:rsidRPr="00743AD5">
        <w:rPr>
          <w:b/>
          <w:sz w:val="28"/>
          <w:szCs w:val="28"/>
          <w:lang w:eastAsia="zh-CN"/>
        </w:rPr>
        <w:t xml:space="preserve"> </w:t>
      </w:r>
    </w:p>
    <w:p w:rsidR="005F1446" w:rsidRPr="00743AD5" w:rsidRDefault="005F1446" w:rsidP="00743AD5">
      <w:pPr>
        <w:widowControl w:val="0"/>
        <w:autoSpaceDE w:val="0"/>
        <w:jc w:val="both"/>
        <w:rPr>
          <w:sz w:val="28"/>
          <w:szCs w:val="28"/>
          <w:lang w:eastAsia="zh-CN"/>
        </w:rPr>
      </w:pPr>
      <w:r w:rsidRPr="00743AD5">
        <w:rPr>
          <w:b/>
          <w:sz w:val="28"/>
          <w:szCs w:val="28"/>
          <w:lang w:eastAsia="zh-CN"/>
        </w:rPr>
        <w:t>ПОСТАНОВЛЯЕТ:</w:t>
      </w:r>
    </w:p>
    <w:p w:rsidR="005F1446" w:rsidRPr="00743AD5" w:rsidRDefault="005F1446" w:rsidP="00743AD5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743AD5">
        <w:rPr>
          <w:sz w:val="28"/>
          <w:szCs w:val="28"/>
          <w:lang w:eastAsia="zh-CN"/>
        </w:rPr>
        <w:t xml:space="preserve">1. Утвердить Положение о порядке и условиях заключения соглашений о защите и поощрении капиталовложений со </w:t>
      </w:r>
      <w:r w:rsidRPr="00743AD5">
        <w:rPr>
          <w:rFonts w:eastAsia="Liberation Serif"/>
          <w:color w:val="000000"/>
          <w:sz w:val="28"/>
          <w:szCs w:val="28"/>
          <w:lang w:eastAsia="zh-CN"/>
        </w:rPr>
        <w:t xml:space="preserve">стороны администрации </w:t>
      </w:r>
      <w:r w:rsidR="00672021" w:rsidRPr="00743AD5">
        <w:rPr>
          <w:rFonts w:eastAsia="Liberation Serif"/>
          <w:color w:val="000000"/>
          <w:sz w:val="28"/>
          <w:szCs w:val="28"/>
          <w:lang w:eastAsia="zh-CN"/>
        </w:rPr>
        <w:t>Тарногс</w:t>
      </w:r>
      <w:r w:rsidRPr="00743AD5">
        <w:rPr>
          <w:rFonts w:eastAsia="Liberation Serif"/>
          <w:color w:val="000000"/>
          <w:sz w:val="28"/>
          <w:szCs w:val="28"/>
          <w:lang w:eastAsia="zh-CN"/>
        </w:rPr>
        <w:t>кого муниципального округа, согласно приложению к настоящему постановлению</w:t>
      </w:r>
      <w:r w:rsidRPr="00743AD5">
        <w:rPr>
          <w:sz w:val="28"/>
          <w:szCs w:val="28"/>
          <w:lang w:eastAsia="zh-CN"/>
        </w:rPr>
        <w:t>.</w:t>
      </w:r>
    </w:p>
    <w:p w:rsidR="005F1446" w:rsidRPr="00743AD5" w:rsidRDefault="005F1446" w:rsidP="00743AD5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743AD5">
        <w:rPr>
          <w:sz w:val="28"/>
          <w:szCs w:val="28"/>
          <w:lang w:eastAsia="zh-CN"/>
        </w:rPr>
        <w:t xml:space="preserve">2. Контроль за выполнением настоящего постановления возложить на заместителя главы </w:t>
      </w:r>
      <w:r w:rsidR="00672021" w:rsidRPr="00743AD5">
        <w:rPr>
          <w:sz w:val="28"/>
          <w:szCs w:val="28"/>
          <w:lang w:eastAsia="zh-CN"/>
        </w:rPr>
        <w:t xml:space="preserve">округа, начальника финансового управления </w:t>
      </w:r>
      <w:r w:rsidR="00743AD5">
        <w:rPr>
          <w:sz w:val="28"/>
          <w:szCs w:val="28"/>
          <w:lang w:eastAsia="zh-CN"/>
        </w:rPr>
        <w:br/>
        <w:t>Шабанову Г.В.</w:t>
      </w:r>
    </w:p>
    <w:p w:rsidR="00E75F1C" w:rsidRDefault="005F1446" w:rsidP="00743AD5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743AD5">
        <w:rPr>
          <w:sz w:val="28"/>
          <w:szCs w:val="28"/>
          <w:lang w:eastAsia="zh-CN"/>
        </w:rPr>
        <w:t xml:space="preserve">3. Настоящее постановление вступает в силу со дня его </w:t>
      </w:r>
      <w:r w:rsidR="00743AD5">
        <w:rPr>
          <w:sz w:val="28"/>
          <w:szCs w:val="28"/>
          <w:lang w:eastAsia="zh-CN"/>
        </w:rPr>
        <w:t>принятия</w:t>
      </w:r>
      <w:r w:rsidRPr="00743AD5">
        <w:rPr>
          <w:sz w:val="28"/>
          <w:szCs w:val="28"/>
          <w:lang w:eastAsia="zh-CN"/>
        </w:rPr>
        <w:t xml:space="preserve"> и подлежит размещению на официальном сайте </w:t>
      </w:r>
      <w:r w:rsidR="00672021" w:rsidRPr="00743AD5">
        <w:rPr>
          <w:sz w:val="28"/>
          <w:szCs w:val="28"/>
          <w:lang w:eastAsia="zh-CN"/>
        </w:rPr>
        <w:t>Тарногс</w:t>
      </w:r>
      <w:r w:rsidRPr="00743AD5">
        <w:rPr>
          <w:sz w:val="28"/>
          <w:szCs w:val="28"/>
          <w:lang w:eastAsia="zh-CN"/>
        </w:rPr>
        <w:t>кого муницип</w:t>
      </w:r>
      <w:r w:rsidR="00743AD5">
        <w:rPr>
          <w:sz w:val="28"/>
          <w:szCs w:val="28"/>
          <w:lang w:eastAsia="zh-CN"/>
        </w:rPr>
        <w:t>ального округа в информационно-телекоммуникационной сети «Интернет».</w:t>
      </w:r>
    </w:p>
    <w:p w:rsidR="00743AD5" w:rsidRPr="00743AD5" w:rsidRDefault="00743AD5" w:rsidP="00743AD5">
      <w:pPr>
        <w:widowControl w:val="0"/>
        <w:autoSpaceDE w:val="0"/>
        <w:ind w:firstLine="709"/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3A0CB2" w:rsidRPr="00743AD5" w:rsidRDefault="003A0CB2" w:rsidP="00743AD5">
      <w:pPr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B301FE" w:rsidRPr="00743AD5" w:rsidRDefault="007028B3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743AD5">
        <w:rPr>
          <w:rFonts w:eastAsia="Segoe UI"/>
          <w:color w:val="000000"/>
          <w:kern w:val="3"/>
          <w:sz w:val="28"/>
          <w:szCs w:val="28"/>
          <w:lang w:eastAsia="zh-CN" w:bidi="hi-IN"/>
        </w:rPr>
        <w:t>Глава округа</w:t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772E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65403E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="00FA1D87" w:rsidRPr="00743AD5">
        <w:rPr>
          <w:rFonts w:eastAsia="Segoe UI"/>
          <w:color w:val="000000"/>
          <w:kern w:val="3"/>
          <w:sz w:val="28"/>
          <w:szCs w:val="28"/>
          <w:lang w:eastAsia="zh-CN" w:bidi="hi-IN"/>
        </w:rPr>
        <w:t>А.В.</w:t>
      </w:r>
      <w:r w:rsidR="00743AD5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FA1D87" w:rsidRPr="00743AD5">
        <w:rPr>
          <w:rFonts w:eastAsia="Segoe UI"/>
          <w:color w:val="000000"/>
          <w:kern w:val="3"/>
          <w:sz w:val="28"/>
          <w:szCs w:val="28"/>
          <w:lang w:eastAsia="zh-CN" w:bidi="hi-IN"/>
        </w:rPr>
        <w:t>Кочкин</w:t>
      </w:r>
    </w:p>
    <w:p w:rsidR="005F1446" w:rsidRPr="00743AD5" w:rsidRDefault="005F1446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5F1446" w:rsidRPr="00743AD5" w:rsidRDefault="005F1446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5F1446" w:rsidRPr="00743AD5" w:rsidRDefault="005F1446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5F1446" w:rsidRDefault="005F1446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743AD5" w:rsidRDefault="00743AD5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743AD5" w:rsidRDefault="00743AD5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743AD5" w:rsidRDefault="00743AD5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743AD5" w:rsidRPr="00743AD5" w:rsidRDefault="00743AD5" w:rsidP="00743AD5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5F1446" w:rsidRDefault="005F1446" w:rsidP="00B014C4">
      <w:pPr>
        <w:widowControl w:val="0"/>
        <w:tabs>
          <w:tab w:val="left" w:pos="709"/>
        </w:tabs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ind w:firstLine="5529"/>
        <w:jc w:val="both"/>
        <w:rPr>
          <w:rFonts w:eastAsia="Liberation Serif"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spacing w:val="-8"/>
          <w:sz w:val="28"/>
          <w:szCs w:val="28"/>
          <w:lang w:eastAsia="zh-CN"/>
        </w:rPr>
        <w:lastRenderedPageBreak/>
        <w:t>УТВЕРЖДЕНО</w:t>
      </w:r>
    </w:p>
    <w:p w:rsidR="00B014C4" w:rsidRPr="00B014C4" w:rsidRDefault="00B014C4" w:rsidP="00B014C4">
      <w:pPr>
        <w:widowControl w:val="0"/>
        <w:tabs>
          <w:tab w:val="left" w:pos="709"/>
        </w:tabs>
        <w:ind w:firstLine="5529"/>
        <w:jc w:val="both"/>
        <w:rPr>
          <w:rFonts w:eastAsia="Liberation Serif"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spacing w:val="-8"/>
          <w:sz w:val="28"/>
          <w:szCs w:val="28"/>
          <w:lang w:eastAsia="zh-CN"/>
        </w:rPr>
        <w:t>постановлением администрации</w:t>
      </w:r>
    </w:p>
    <w:p w:rsidR="00B014C4" w:rsidRPr="00B014C4" w:rsidRDefault="00B014C4" w:rsidP="00B014C4">
      <w:pPr>
        <w:widowControl w:val="0"/>
        <w:tabs>
          <w:tab w:val="left" w:pos="709"/>
        </w:tabs>
        <w:ind w:firstLine="5529"/>
        <w:jc w:val="both"/>
        <w:rPr>
          <w:rFonts w:eastAsia="Liberation Serif"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spacing w:val="-8"/>
          <w:sz w:val="28"/>
          <w:szCs w:val="28"/>
          <w:lang w:eastAsia="zh-CN"/>
        </w:rPr>
        <w:t>округа от 16.06.2025 г. № 331</w:t>
      </w:r>
    </w:p>
    <w:p w:rsidR="00B014C4" w:rsidRPr="00B014C4" w:rsidRDefault="00B014C4" w:rsidP="00B014C4">
      <w:pPr>
        <w:widowControl w:val="0"/>
        <w:tabs>
          <w:tab w:val="left" w:pos="709"/>
        </w:tabs>
        <w:ind w:firstLine="5529"/>
        <w:jc w:val="both"/>
        <w:rPr>
          <w:rFonts w:eastAsia="Liberation Serif"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spacing w:val="-8"/>
          <w:sz w:val="28"/>
          <w:szCs w:val="28"/>
          <w:lang w:eastAsia="zh-CN"/>
        </w:rPr>
        <w:t>(приложение)</w:t>
      </w: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Положение</w:t>
      </w: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о порядке и условиях заключения соглашений о защите</w:t>
      </w: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и поощрении капиталовложений со стороны администрации</w:t>
      </w: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Тарногского муниципального округа</w:t>
      </w: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spacing w:val="-8"/>
          <w:sz w:val="28"/>
          <w:szCs w:val="28"/>
          <w:lang w:eastAsia="zh-CN"/>
        </w:rPr>
        <w:t>(далее - Положение)</w:t>
      </w: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1. Общие положения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1.1. Положение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Федерального закона 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br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№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>69-ФЗ) и устанавливает порядок и условия заключения соглашений о защите и поощрении капиталовложений со стороны администрации Тарногского муниципального округа.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1.2. Администрация Тарногского муниципального округа является уполномоченным органом в сфере заключения соглашений о защите и поощрении капиталовложений.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1.3. Администрация Тарногского муниципального округа может быть стороной соглашения о защите и поощрении капиталовложений, если одновременно стороной такого соглашения является Вологодская область, на территории которой реализуется соответствующий инвестиционный проект.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1.4. Заключение Соглашения о защите и поощрении капиталовложений, одной из сторон которого является администрация Тарногского муниципального округа, осуществляется в соответствии с Правилами заключения соглашений о защите и поощрении капиталовложений, изменения и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13.09.2022 № 1602 (далее – Правила).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1.5. В настоящем Положении используются понятия, предусмотренные Федеральным законом № 69-ФЗ.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2. Порядок заключения соглашений о защите и поощрении капиталовложений со стороны администрации Тарногского муниципального округа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2.1. Уполномоченный орган Вологодской области, в адрес которого от организации, реализующей проект и отвечающей требованиям пункта 5 Правил, поступили заявление, прилагаемые к нему документы и материалы, проект соглашения (проект дополнительного соглашения к нему), направляет по одному экземпляру заявления, прилагаемых к нему документов и материалов, проекта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lastRenderedPageBreak/>
        <w:t>соглашения (проектов дополнительных соглашений к нему), а также (если применимо) ходатайства заявителя о признании ранее заключенного договора в качестве связанного договора и (или) о включении в соглашение обязанностей администрации Тарногского муниципального округа, предусмотренных частью 9 статьи 10 Федерального закона, главе Тарногского муниципального округа, если на территории Тарногского муниципального округа предполагается осуществление инвестиционного проекта.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2.2. Для участия в соглашении о защите и поощрении капиталовложений администрации Тарногского муниципального округа, глава Тарногского муниципального округа подписывает заявление, составленное по форме согласно приложению №</w:t>
      </w:r>
      <w:r w:rsidR="002C2450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>8 к Правилам, подтверждающее его согласие на заключение (присоединение) и на выполнение обязательств, возникающих у администрации Тарногского муниципального округа в связи с участием в соглашении о защите и поощрении капиталовложений, в том числе обязательств по применению в отношении заявителя актов (решений) органов местного самоуправления Тарногского муниципального округа с учетом особенностей, предусмотренных статьей 9 Федерального закона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закона, в пределах земельного налога (если администрация Тарногского муниципального округа согласна принять обязательства по возмещению таких затрат), с приложением проекта дополнительного соглашения о присоединении администрации Тарногского муниципального округа, подписанного главой Тарногского муниципального округа, составленного в соответствии с подпунктом «г» пункта 58 Правил, представляемого в количестве экземпляров, равном количеству сторон соглашения.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2.3. Решение о заключении соглашения о защите и поощрении капиталовложений принимается в форме распоряжения администрации Тарногского муниципального округа.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2.4. Глава Тарногского муниципального округа в случае отсутствия оснований для отказа в заключении соглашения (дополнительного соглашения к нему), предусмотренных частью 14 статьи 7 Федерального закона №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>69-ФЗ, подписывает соглашение (дополнительное соглашение к нему).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2.5. Соглашение о защите и поощрении капиталовложений подписывается с использованием государственной информационной системы «Капиталовложения» в порядке, предусмотренном статьями 7 и 8 Федерального закона № 69-ФЗ.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2.6.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подпись.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2.7. Соглашение о защите и поощрении капиталовложений заключается не позднее 1 января 2030 года.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Соглашение о защите и поощрении капиталовложений может быть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lastRenderedPageBreak/>
        <w:t xml:space="preserve">прекращено в любое время по соглашению сторон, если это не нарушает условий связанного договора.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2.8.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B014C4" w:rsidRPr="00B014C4" w:rsidRDefault="00B014C4" w:rsidP="00B014C4">
      <w:pPr>
        <w:widowControl w:val="0"/>
        <w:tabs>
          <w:tab w:val="left" w:pos="709"/>
        </w:tabs>
        <w:ind w:firstLine="708"/>
        <w:jc w:val="both"/>
        <w:rPr>
          <w:rFonts w:eastAsia="Liberation Serif"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spacing w:val="-8"/>
          <w:sz w:val="28"/>
          <w:szCs w:val="28"/>
          <w:lang w:eastAsia="zh-CN"/>
        </w:rPr>
        <w:t>2.9.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соглашения главой Тарногского муниципального округа.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2.10.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</w:t>
      </w:r>
      <w:r w:rsidR="002C2450">
        <w:rPr>
          <w:rFonts w:eastAsia="Liberation Serif"/>
          <w:spacing w:val="-8"/>
          <w:sz w:val="28"/>
          <w:szCs w:val="28"/>
          <w:lang w:eastAsia="zh-CN"/>
        </w:rPr>
        <w:t>администрацию Тарногского муниципального округа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2.11. Администрация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2.12. По итогам проведения мониторинга, указанного в пункте 2.11 настоящего Порядка</w:t>
      </w:r>
      <w:r w:rsidR="002C2450">
        <w:rPr>
          <w:rFonts w:eastAsia="Liberation Serif"/>
          <w:spacing w:val="-8"/>
          <w:sz w:val="28"/>
          <w:szCs w:val="28"/>
          <w:lang w:eastAsia="zh-CN"/>
        </w:rPr>
        <w:t>,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 администрация Тарногского муниципального округа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орган Вологодской области.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3. Условия заключения соглашений о защите и поощрении капиталовложений со стороны администрации Тарногского муниципального округа</w:t>
      </w: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3.1. Соглашение о защите и поощрении капиталовложений должно содержать следующие условия: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2) срок осуществления капиталовложений в установленном объеме капиталовложений;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3) объем капиталовложений;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4</w:t>
      </w:r>
      <w:r>
        <w:rPr>
          <w:rFonts w:eastAsia="Liberation Serif"/>
          <w:spacing w:val="-8"/>
          <w:sz w:val="28"/>
          <w:szCs w:val="28"/>
          <w:lang w:eastAsia="zh-CN"/>
        </w:rPr>
        <w:t>)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 объем планируемых к возмещению затрат, указанных в части 1 статьи 15</w:t>
      </w:r>
      <w:r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lastRenderedPageBreak/>
        <w:t>Федерального закона №69-ФЗ, и планируемые сроки их возмещения;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5) срок осуществления иных мероприятий, определенных в соглашении о защите и поощрении капиталовложений;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6) срок применения стабилизационной оговорки в пределах сроков, установленных частями 10 и 11 статьи 10 Федерального закона №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69-ФЗ;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7)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№ 69-ФЗ, и (или) процентная ставка (порядок ее определения) по кредитному договору, указанному в пункте 2 части 1 статьи 14 Федерального закона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№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 69-ФЗ, а также сроки предоставления и объемы субсидий, указанных в пункте 2 части 3 статьи 14 Федерального закона № 69-ФЗ;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8) указание на обязанность администрации Тарногского муниципального округа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Тарногского муниципального округа в связи с реализацией инвестиционного проекта, а именно земельного налога, исчисленного организацией, реализующей инвестиционный проект, для уплаты в местный бюджет;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9)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10)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11) порядок разрешения споров между сторонами соглашения о защите и поощрении капиталовложений;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12) иные условия, предусмотренные Федеральным законом № 69-ФЗ и типовой формой соглашения о защите и поощрении капиталовложений, утвержденной Правительством Российской Федерации.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3.2.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1) игорный бизнес;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4) оптовая и розничная торговля;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lastRenderedPageBreak/>
        <w:t xml:space="preserve">ценных бумаг в целях финансирования инвестиционного проекта);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3.3. По соглашению о защите и поощрении капиталовложений администрация Тарногского муниципального округа, являющаяся его стороной</w:t>
      </w:r>
      <w:r w:rsidR="002C2450">
        <w:rPr>
          <w:rFonts w:eastAsia="Liberation Serif"/>
          <w:spacing w:val="-8"/>
          <w:sz w:val="28"/>
          <w:szCs w:val="28"/>
          <w:lang w:eastAsia="zh-CN"/>
        </w:rPr>
        <w:t xml:space="preserve">,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>обязуется обеспечить организации, реализующей проект, неприменение в ее отношении актов (решений) органов местного самоуправления Тарногского муниципального округа, ухудшающих условия ведения предпринимательской и (или) иной деятельности, а именно: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1) увеличивающих сроки осуществления процедур, необходимых для реализации инвестиционного проекта;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2) увеличивающих количество процедур, необходимых для реализации инвестиционного проекта;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5) устанавливающих дополнительные запреты, препятствующие реализации инвестиционного проекта.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Тарногского муниципального округа.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3.4. Действие соглашения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3.5. Соглашение может быть расторгнуто в порядке, предусмотренном статьей 13 Федерального закона №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>69-ФЗ, по требованию главы Тарногского муниципального округа при выявлении любого из предусмотренных частью 13 статьи 11 Федерального закона №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69-ФЗ следующих обстоятельств: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а) представление организацией, реализующей проект, недостоверных сведений при заключении или исполнении соглашения;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б) неосуществление капиталовложений, предусмотренных условиями соглашения, в течение более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№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>69-ФЗ;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в) </w:t>
      </w:r>
      <w:proofErr w:type="spellStart"/>
      <w:r w:rsidRPr="00B014C4">
        <w:rPr>
          <w:rFonts w:eastAsia="Liberation Serif"/>
          <w:spacing w:val="-8"/>
          <w:sz w:val="28"/>
          <w:szCs w:val="28"/>
          <w:lang w:eastAsia="zh-CN"/>
        </w:rPr>
        <w:t>ненаступление</w:t>
      </w:r>
      <w:proofErr w:type="spellEnd"/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 отдельных юридических фактов, предусмотренных условиями соглашения, в течение более 2 лет по истечении предусмотренного соглашением срока, а также дополнительного срока, предоставленного в соответствии с пунктом 3 части 8 статьи 10 Федерального закона №</w:t>
      </w:r>
      <w:r w:rsidR="00E0191A">
        <w:rPr>
          <w:rFonts w:eastAsia="Liberation Serif"/>
          <w:spacing w:val="-8"/>
          <w:sz w:val="28"/>
          <w:szCs w:val="28"/>
          <w:lang w:eastAsia="zh-CN"/>
        </w:rPr>
        <w:t xml:space="preserve">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69-ФЗ, в том числе неполучение разрешения на строительство, отсутствие государственной </w:t>
      </w:r>
      <w:r w:rsidRPr="00B014C4">
        <w:rPr>
          <w:rFonts w:eastAsia="Liberation Serif"/>
          <w:spacing w:val="-8"/>
          <w:sz w:val="28"/>
          <w:szCs w:val="28"/>
          <w:lang w:eastAsia="zh-CN"/>
        </w:rPr>
        <w:lastRenderedPageBreak/>
        <w:t>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 xml:space="preserve">г)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 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3.6. Администрация Тарногского муниципального округа,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center"/>
        <w:rPr>
          <w:rFonts w:eastAsia="Liberation Serif"/>
          <w:b/>
          <w:spacing w:val="-8"/>
          <w:sz w:val="28"/>
          <w:szCs w:val="28"/>
          <w:lang w:eastAsia="zh-CN"/>
        </w:rPr>
      </w:pPr>
      <w:r w:rsidRPr="00B014C4">
        <w:rPr>
          <w:rFonts w:eastAsia="Liberation Serif"/>
          <w:b/>
          <w:spacing w:val="-8"/>
          <w:sz w:val="28"/>
          <w:szCs w:val="28"/>
          <w:lang w:eastAsia="zh-CN"/>
        </w:rPr>
        <w:t>4. Заключительные положения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 № 69-ФЗ.</w:t>
      </w:r>
    </w:p>
    <w:p w:rsidR="00B014C4" w:rsidRPr="00B014C4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4.2. Порядок рассмотрения споров по соглашению о защите и поощрении капиталовложений установлен статьей 13 Федерального закона № 69-ФЗ.</w:t>
      </w:r>
    </w:p>
    <w:p w:rsidR="00B014C4" w:rsidRPr="00743AD5" w:rsidRDefault="00B014C4" w:rsidP="00B014C4">
      <w:pPr>
        <w:widowControl w:val="0"/>
        <w:tabs>
          <w:tab w:val="left" w:pos="709"/>
        </w:tabs>
        <w:jc w:val="both"/>
        <w:rPr>
          <w:rFonts w:eastAsia="Liberation Serif"/>
          <w:spacing w:val="-8"/>
          <w:sz w:val="28"/>
          <w:szCs w:val="28"/>
          <w:lang w:eastAsia="zh-CN"/>
        </w:rPr>
      </w:pPr>
      <w:r>
        <w:rPr>
          <w:rFonts w:eastAsia="Liberation Serif"/>
          <w:spacing w:val="-8"/>
          <w:sz w:val="28"/>
          <w:szCs w:val="28"/>
          <w:lang w:eastAsia="zh-CN"/>
        </w:rPr>
        <w:tab/>
      </w:r>
      <w:r w:rsidRPr="00B014C4">
        <w:rPr>
          <w:rFonts w:eastAsia="Liberation Serif"/>
          <w:spacing w:val="-8"/>
          <w:sz w:val="28"/>
          <w:szCs w:val="28"/>
          <w:lang w:eastAsia="zh-CN"/>
        </w:rPr>
        <w:t>4.3. Положения, касающиеся связанных договоров, определены статьей 14 Федерального закона № 69-ФЗ.</w:t>
      </w:r>
    </w:p>
    <w:sectPr w:rsidR="00B014C4" w:rsidRPr="00743AD5" w:rsidSect="00743AD5">
      <w:headerReference w:type="default" r:id="rId9"/>
      <w:pgSz w:w="11906" w:h="16838" w:code="9"/>
      <w:pgMar w:top="1134" w:right="851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3D" w:rsidRDefault="000C123D">
      <w:r>
        <w:separator/>
      </w:r>
    </w:p>
  </w:endnote>
  <w:endnote w:type="continuationSeparator" w:id="0">
    <w:p w:rsidR="000C123D" w:rsidRDefault="000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3D" w:rsidRDefault="000C123D">
      <w:r>
        <w:separator/>
      </w:r>
    </w:p>
  </w:footnote>
  <w:footnote w:type="continuationSeparator" w:id="0">
    <w:p w:rsidR="000C123D" w:rsidRDefault="000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B2" w:rsidRDefault="007A74B2" w:rsidP="00743AD5">
    <w:pPr>
      <w:pStyle w:val="af1"/>
      <w:rPr>
        <w:noProof/>
      </w:rPr>
    </w:pPr>
  </w:p>
  <w:p w:rsidR="007A74B2" w:rsidRDefault="007A74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123D"/>
    <w:rsid w:val="000C3F9F"/>
    <w:rsid w:val="000C7A6B"/>
    <w:rsid w:val="000C7B9B"/>
    <w:rsid w:val="000C7E98"/>
    <w:rsid w:val="000D1025"/>
    <w:rsid w:val="000D1F5C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AE8"/>
    <w:rsid w:val="001A2C7A"/>
    <w:rsid w:val="001A30E5"/>
    <w:rsid w:val="001A3DE0"/>
    <w:rsid w:val="001A3FBA"/>
    <w:rsid w:val="001A6021"/>
    <w:rsid w:val="001B05A0"/>
    <w:rsid w:val="001B114D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6BF4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450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69A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4AEA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E7AD7"/>
    <w:rsid w:val="004F0A4D"/>
    <w:rsid w:val="004F3057"/>
    <w:rsid w:val="004F37A8"/>
    <w:rsid w:val="004F3DD3"/>
    <w:rsid w:val="004F613F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1446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03E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2021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3AD5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52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A74B2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529A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2EB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4C4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68B1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191A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4DD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8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7C006-0132-41F3-A0D4-26C7BA94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rsid w:val="003769A6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376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37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sid w:val="003769A6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3769A6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  <w:rsid w:val="003769A6"/>
  </w:style>
  <w:style w:type="character" w:customStyle="1" w:styleId="-">
    <w:name w:val="Интернет-ссылка"/>
    <w:rsid w:val="003769A6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rsid w:val="003769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sid w:val="003769A6"/>
    <w:rPr>
      <w:sz w:val="28"/>
    </w:rPr>
  </w:style>
  <w:style w:type="paragraph" w:styleId="ab">
    <w:name w:val="List"/>
    <w:basedOn w:val="a6"/>
    <w:rsid w:val="003769A6"/>
    <w:rPr>
      <w:rFonts w:cs="Mangal"/>
    </w:rPr>
  </w:style>
  <w:style w:type="paragraph" w:styleId="ac">
    <w:name w:val="caption"/>
    <w:basedOn w:val="a"/>
    <w:qFormat/>
    <w:rsid w:val="003769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3769A6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sid w:val="003769A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3769A6"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3769A6"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rsid w:val="003769A6"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rsid w:val="003769A6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  <w:rsid w:val="003769A6"/>
  </w:style>
  <w:style w:type="paragraph" w:styleId="a8">
    <w:name w:val="footer"/>
    <w:basedOn w:val="a"/>
    <w:link w:val="a7"/>
    <w:uiPriority w:val="99"/>
    <w:rsid w:val="003769A6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  <w:rsid w:val="003769A6"/>
  </w:style>
  <w:style w:type="paragraph" w:customStyle="1" w:styleId="af0">
    <w:name w:val="Содержимое таблицы"/>
    <w:basedOn w:val="a"/>
    <w:qFormat/>
    <w:rsid w:val="003769A6"/>
    <w:pPr>
      <w:widowControl w:val="0"/>
      <w:suppressLineNumbers/>
    </w:pPr>
  </w:style>
  <w:style w:type="paragraph" w:styleId="af1">
    <w:name w:val="header"/>
    <w:basedOn w:val="ae"/>
    <w:link w:val="af2"/>
    <w:uiPriority w:val="99"/>
    <w:rsid w:val="003769A6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CC45-963B-473C-B92E-5343D984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8</cp:revision>
  <cp:lastPrinted>2025-06-17T07:14:00Z</cp:lastPrinted>
  <dcterms:created xsi:type="dcterms:W3CDTF">2025-06-17T07:15:00Z</dcterms:created>
  <dcterms:modified xsi:type="dcterms:W3CDTF">2025-06-18T07:44:00Z</dcterms:modified>
  <dc:language>ru-RU</dc:language>
</cp:coreProperties>
</file>