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0E739E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D645EA">
              <w:rPr>
                <w:sz w:val="28"/>
                <w:szCs w:val="28"/>
              </w:rPr>
              <w:t>10</w:t>
            </w:r>
            <w:r w:rsidR="00FB404C">
              <w:rPr>
                <w:sz w:val="28"/>
                <w:szCs w:val="28"/>
              </w:rPr>
              <w:t>.2023</w:t>
            </w:r>
            <w:r w:rsidR="003F57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0E739E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45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</w:tblGrid>
      <w:tr w:rsidR="00A42C7B" w:rsidRPr="00A42C7B" w:rsidTr="00A42C7B">
        <w:trPr>
          <w:trHeight w:val="574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42C7B" w:rsidRPr="00A42C7B" w:rsidRDefault="00A42C7B" w:rsidP="00A42C7B">
            <w:pPr>
              <w:ind w:right="-91"/>
              <w:jc w:val="both"/>
              <w:rPr>
                <w:sz w:val="28"/>
                <w:szCs w:val="28"/>
              </w:rPr>
            </w:pPr>
            <w:r w:rsidRPr="00A42C7B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Тарногского</w:t>
            </w:r>
            <w:r>
              <w:rPr>
                <w:sz w:val="28"/>
                <w:szCs w:val="28"/>
              </w:rPr>
              <w:t xml:space="preserve"> </w:t>
            </w:r>
            <w:r w:rsidRPr="00A42C7B">
              <w:rPr>
                <w:sz w:val="28"/>
                <w:szCs w:val="28"/>
              </w:rPr>
              <w:t>муниципального округа Вологодской области на 2024 год</w:t>
            </w:r>
          </w:p>
        </w:tc>
      </w:tr>
    </w:tbl>
    <w:p w:rsidR="00D645EA" w:rsidRPr="00A42C7B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</w:p>
    <w:p w:rsidR="00D645EA" w:rsidRPr="00A42C7B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 w:rsidRPr="00A42C7B">
        <w:rPr>
          <w:sz w:val="28"/>
          <w:szCs w:val="28"/>
        </w:rPr>
        <w:tab/>
      </w:r>
      <w:r w:rsidRPr="00A42C7B">
        <w:rPr>
          <w:color w:val="000000"/>
          <w:sz w:val="28"/>
          <w:szCs w:val="28"/>
        </w:rPr>
        <w:t>В соответствии со ста</w:t>
      </w:r>
      <w:r w:rsidR="00A42C7B" w:rsidRPr="00A42C7B">
        <w:rPr>
          <w:color w:val="000000"/>
          <w:sz w:val="28"/>
          <w:szCs w:val="28"/>
        </w:rPr>
        <w:t xml:space="preserve">тьей 44 Федерального закона от </w:t>
      </w:r>
      <w:r w:rsidRPr="00A42C7B">
        <w:rPr>
          <w:color w:val="000000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руков</w:t>
      </w:r>
      <w:r w:rsidR="00A42C7B" w:rsidRPr="00A42C7B">
        <w:rPr>
          <w:color w:val="000000"/>
          <w:sz w:val="28"/>
          <w:szCs w:val="28"/>
        </w:rPr>
        <w:t>одствуясь Уставом Тарногского м</w:t>
      </w:r>
      <w:r w:rsidRPr="00A42C7B">
        <w:rPr>
          <w:color w:val="000000"/>
          <w:sz w:val="28"/>
          <w:szCs w:val="28"/>
        </w:rPr>
        <w:t>униципального округа</w:t>
      </w:r>
      <w:r w:rsidR="002A51A5" w:rsidRPr="00A42C7B">
        <w:rPr>
          <w:color w:val="000000"/>
          <w:sz w:val="28"/>
          <w:szCs w:val="28"/>
        </w:rPr>
        <w:t>, администрация</w:t>
      </w:r>
      <w:r w:rsidR="00FF6D9A" w:rsidRPr="00A42C7B">
        <w:rPr>
          <w:sz w:val="28"/>
          <w:szCs w:val="28"/>
        </w:rPr>
        <w:t xml:space="preserve"> округа</w:t>
      </w:r>
    </w:p>
    <w:p w:rsidR="00A42C7B" w:rsidRPr="00A42C7B" w:rsidRDefault="003F5747" w:rsidP="00A42C7B">
      <w:pPr>
        <w:tabs>
          <w:tab w:val="left" w:pos="709"/>
        </w:tabs>
        <w:jc w:val="both"/>
        <w:rPr>
          <w:sz w:val="28"/>
          <w:szCs w:val="28"/>
        </w:rPr>
      </w:pPr>
      <w:r w:rsidRPr="00A42C7B">
        <w:rPr>
          <w:b/>
          <w:sz w:val="28"/>
          <w:szCs w:val="28"/>
        </w:rPr>
        <w:t>ПОСТАНОВЛЯЕТ</w:t>
      </w:r>
      <w:r w:rsidRPr="00A42C7B">
        <w:rPr>
          <w:sz w:val="28"/>
          <w:szCs w:val="28"/>
        </w:rPr>
        <w:t>:</w:t>
      </w:r>
    </w:p>
    <w:p w:rsidR="0012780F" w:rsidRPr="00A42C7B" w:rsidRDefault="0012780F" w:rsidP="00A42C7B">
      <w:pPr>
        <w:pStyle w:val="a7"/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A42C7B">
        <w:rPr>
          <w:color w:val="000000"/>
          <w:sz w:val="28"/>
          <w:szCs w:val="28"/>
        </w:rPr>
        <w:t>Утвердить П</w:t>
      </w:r>
      <w:r w:rsidR="00D645EA" w:rsidRPr="00A42C7B">
        <w:rPr>
          <w:color w:val="000000"/>
          <w:sz w:val="28"/>
          <w:szCs w:val="28"/>
        </w:rPr>
        <w:t xml:space="preserve">рограмму профилактики рисков причинения вреда </w:t>
      </w:r>
    </w:p>
    <w:p w:rsidR="000E739E" w:rsidRDefault="00D645EA" w:rsidP="000E739E">
      <w:pPr>
        <w:jc w:val="both"/>
        <w:rPr>
          <w:sz w:val="28"/>
          <w:szCs w:val="28"/>
        </w:rPr>
      </w:pPr>
      <w:r w:rsidRPr="00A42C7B">
        <w:rPr>
          <w:color w:val="000000"/>
          <w:sz w:val="28"/>
          <w:szCs w:val="28"/>
        </w:rPr>
        <w:t>(ущерба) охраняемым законом ценностям при осуществлении муниципального</w:t>
      </w:r>
      <w:r w:rsidR="001D531C" w:rsidRPr="00A42C7B">
        <w:rPr>
          <w:color w:val="000000"/>
          <w:sz w:val="28"/>
          <w:szCs w:val="28"/>
        </w:rPr>
        <w:t xml:space="preserve"> контроля на автомобильном транспорте и в дорожном хозяйстве на территории Тарногского муниципального округа Вологодской области на 2024 год</w:t>
      </w:r>
      <w:r w:rsidR="0012780F" w:rsidRPr="00A42C7B">
        <w:rPr>
          <w:color w:val="000000"/>
          <w:sz w:val="28"/>
          <w:szCs w:val="28"/>
        </w:rPr>
        <w:t xml:space="preserve"> (приложение 1)</w:t>
      </w:r>
      <w:r w:rsidR="001D531C" w:rsidRPr="00A42C7B">
        <w:rPr>
          <w:color w:val="000000"/>
          <w:sz w:val="28"/>
          <w:szCs w:val="28"/>
        </w:rPr>
        <w:t>.</w:t>
      </w:r>
      <w:r w:rsidR="00A42C7B" w:rsidRPr="00A42C7B">
        <w:rPr>
          <w:sz w:val="28"/>
          <w:szCs w:val="28"/>
        </w:rPr>
        <w:t xml:space="preserve"> </w:t>
      </w:r>
    </w:p>
    <w:p w:rsidR="00FB404C" w:rsidRPr="000E739E" w:rsidRDefault="000E739E" w:rsidP="000E739E">
      <w:pPr>
        <w:ind w:firstLine="708"/>
        <w:jc w:val="both"/>
        <w:rPr>
          <w:sz w:val="28"/>
          <w:szCs w:val="28"/>
        </w:rPr>
      </w:pPr>
      <w:r w:rsidRPr="000E739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D645EA" w:rsidRPr="000E739E">
        <w:rPr>
          <w:color w:val="000000"/>
          <w:sz w:val="28"/>
          <w:szCs w:val="28"/>
        </w:rPr>
        <w:t>Настоящее постановление вступает</w:t>
      </w:r>
      <w:r w:rsidR="003D4E44">
        <w:rPr>
          <w:color w:val="000000"/>
          <w:sz w:val="28"/>
          <w:szCs w:val="28"/>
        </w:rPr>
        <w:t xml:space="preserve"> в силу с </w:t>
      </w:r>
      <w:r w:rsidRPr="000E739E">
        <w:rPr>
          <w:color w:val="000000"/>
          <w:sz w:val="28"/>
          <w:szCs w:val="28"/>
        </w:rPr>
        <w:t>1 января 2024 года, п</w:t>
      </w:r>
      <w:r w:rsidR="00D645EA" w:rsidRPr="000E739E">
        <w:rPr>
          <w:color w:val="000000"/>
          <w:sz w:val="28"/>
          <w:szCs w:val="28"/>
        </w:rPr>
        <w:t>одлежит</w:t>
      </w:r>
      <w:r w:rsidR="0012780F" w:rsidRPr="000E739E">
        <w:rPr>
          <w:color w:val="000000"/>
          <w:sz w:val="28"/>
          <w:szCs w:val="28"/>
        </w:rPr>
        <w:t xml:space="preserve"> опубликованию в газете «Кокшеньга» и </w:t>
      </w:r>
      <w:r w:rsidR="00D645EA" w:rsidRPr="000E739E">
        <w:rPr>
          <w:color w:val="000000"/>
          <w:sz w:val="28"/>
          <w:szCs w:val="28"/>
        </w:rPr>
        <w:t xml:space="preserve">размещению на официальном сайте </w:t>
      </w:r>
      <w:r w:rsidR="00D645EA" w:rsidRPr="000E739E">
        <w:rPr>
          <w:sz w:val="28"/>
          <w:szCs w:val="28"/>
        </w:rPr>
        <w:t xml:space="preserve">Тарногского муниципального округа </w:t>
      </w:r>
      <w:r w:rsidR="00D645EA" w:rsidRPr="000E739E">
        <w:rPr>
          <w:color w:val="000000"/>
          <w:sz w:val="28"/>
          <w:szCs w:val="28"/>
        </w:rPr>
        <w:t>в информационно-телекоммуникационной сети «Интернет</w:t>
      </w:r>
      <w:r w:rsidR="0012780F" w:rsidRPr="000E739E">
        <w:rPr>
          <w:color w:val="000000"/>
          <w:sz w:val="28"/>
          <w:szCs w:val="28"/>
        </w:rPr>
        <w:t>».</w:t>
      </w:r>
    </w:p>
    <w:p w:rsidR="00D645EA" w:rsidRPr="00A42C7B" w:rsidRDefault="00D645EA" w:rsidP="00D645EA">
      <w:pPr>
        <w:jc w:val="both"/>
        <w:rPr>
          <w:sz w:val="28"/>
          <w:szCs w:val="28"/>
        </w:rPr>
      </w:pPr>
    </w:p>
    <w:p w:rsidR="008F6F38" w:rsidRPr="00A42C7B" w:rsidRDefault="008F6F38" w:rsidP="00D645EA">
      <w:pPr>
        <w:jc w:val="both"/>
        <w:rPr>
          <w:sz w:val="28"/>
          <w:szCs w:val="28"/>
        </w:rPr>
      </w:pPr>
    </w:p>
    <w:p w:rsidR="008F6F38" w:rsidRPr="00A42C7B" w:rsidRDefault="008F6F38" w:rsidP="00D645EA">
      <w:pPr>
        <w:jc w:val="both"/>
        <w:rPr>
          <w:sz w:val="28"/>
          <w:szCs w:val="28"/>
        </w:rPr>
      </w:pPr>
    </w:p>
    <w:p w:rsidR="00D645EA" w:rsidRPr="00A42C7B" w:rsidRDefault="00D645EA" w:rsidP="00D645EA">
      <w:pPr>
        <w:jc w:val="both"/>
        <w:rPr>
          <w:sz w:val="28"/>
          <w:szCs w:val="28"/>
        </w:rPr>
      </w:pPr>
    </w:p>
    <w:p w:rsidR="00D645EA" w:rsidRDefault="00D645EA" w:rsidP="00D645EA">
      <w:pPr>
        <w:jc w:val="both"/>
        <w:rPr>
          <w:sz w:val="28"/>
          <w:szCs w:val="28"/>
        </w:rPr>
      </w:pPr>
      <w:r w:rsidRPr="00A42C7B">
        <w:rPr>
          <w:sz w:val="28"/>
          <w:szCs w:val="28"/>
        </w:rPr>
        <w:t xml:space="preserve">Глава округа </w:t>
      </w:r>
      <w:r w:rsidRPr="00A42C7B">
        <w:rPr>
          <w:sz w:val="28"/>
          <w:szCs w:val="28"/>
        </w:rPr>
        <w:tab/>
      </w:r>
      <w:r w:rsidRPr="00A42C7B">
        <w:rPr>
          <w:sz w:val="28"/>
          <w:szCs w:val="28"/>
        </w:rPr>
        <w:tab/>
      </w:r>
      <w:r w:rsidRPr="00A42C7B">
        <w:rPr>
          <w:sz w:val="28"/>
          <w:szCs w:val="28"/>
        </w:rPr>
        <w:tab/>
      </w:r>
      <w:r w:rsidRPr="00A42C7B">
        <w:rPr>
          <w:sz w:val="28"/>
          <w:szCs w:val="28"/>
        </w:rPr>
        <w:tab/>
      </w:r>
      <w:r w:rsidRPr="00A42C7B">
        <w:rPr>
          <w:sz w:val="28"/>
          <w:szCs w:val="28"/>
        </w:rPr>
        <w:tab/>
      </w:r>
      <w:r w:rsidRPr="00A42C7B">
        <w:rPr>
          <w:sz w:val="28"/>
          <w:szCs w:val="28"/>
        </w:rPr>
        <w:tab/>
      </w:r>
      <w:r w:rsidR="00CF0F24">
        <w:rPr>
          <w:sz w:val="28"/>
          <w:szCs w:val="28"/>
        </w:rPr>
        <w:tab/>
      </w:r>
      <w:r w:rsidR="00CF0F24">
        <w:rPr>
          <w:sz w:val="28"/>
          <w:szCs w:val="28"/>
        </w:rPr>
        <w:tab/>
      </w:r>
      <w:r w:rsidR="00CF0F24">
        <w:rPr>
          <w:sz w:val="28"/>
          <w:szCs w:val="28"/>
        </w:rPr>
        <w:tab/>
      </w:r>
      <w:r w:rsidRPr="00A42C7B">
        <w:rPr>
          <w:sz w:val="28"/>
          <w:szCs w:val="28"/>
        </w:rPr>
        <w:t>А.В. Кочкин</w:t>
      </w:r>
    </w:p>
    <w:p w:rsidR="00CF0F24" w:rsidRPr="00A42C7B" w:rsidRDefault="00CF0F24" w:rsidP="00D645E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10326" w:type="dxa"/>
        <w:tblLook w:val="04A0" w:firstRow="1" w:lastRow="0" w:firstColumn="1" w:lastColumn="0" w:noHBand="0" w:noVBand="1"/>
      </w:tblPr>
      <w:tblGrid>
        <w:gridCol w:w="5470"/>
        <w:gridCol w:w="4856"/>
      </w:tblGrid>
      <w:tr w:rsidR="00847CAA" w:rsidRPr="00DC12E1" w:rsidTr="008B0E79">
        <w:trPr>
          <w:trHeight w:val="1172"/>
        </w:trPr>
        <w:tc>
          <w:tcPr>
            <w:tcW w:w="5470" w:type="dxa"/>
          </w:tcPr>
          <w:p w:rsidR="00847CAA" w:rsidRDefault="00847CAA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F0F24" w:rsidRDefault="00CF0F24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24" w:rsidRPr="00DC12E1" w:rsidRDefault="00CF0F24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9E7C98" w:rsidRDefault="009E7C98" w:rsidP="001278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47CAA" w:rsidRDefault="0012780F" w:rsidP="008B0E79">
            <w:pPr>
              <w:pStyle w:val="ConsPlusNormal"/>
              <w:widowControl/>
              <w:ind w:right="5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округа от</w:t>
            </w:r>
            <w:r w:rsidR="009E7C9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847CAA" w:rsidRPr="00010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7CAA" w:rsidRPr="0001089F">
              <w:rPr>
                <w:rFonts w:ascii="Times New Roman" w:hAnsi="Times New Roman" w:cs="Times New Roman"/>
                <w:sz w:val="28"/>
                <w:szCs w:val="28"/>
              </w:rPr>
              <w:t xml:space="preserve">.2023 г. № </w:t>
            </w:r>
            <w:r w:rsidR="009E7C98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  <w:p w:rsidR="0012780F" w:rsidRPr="00BB1A2A" w:rsidRDefault="0012780F" w:rsidP="00705C40">
            <w:pPr>
              <w:pStyle w:val="ConsPlusNormal"/>
              <w:widowControl/>
              <w:tabs>
                <w:tab w:val="left" w:pos="34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705C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645EA" w:rsidRDefault="00D645EA" w:rsidP="00D645EA">
      <w:pPr>
        <w:jc w:val="both"/>
        <w:rPr>
          <w:sz w:val="28"/>
          <w:szCs w:val="28"/>
        </w:rPr>
      </w:pPr>
    </w:p>
    <w:p w:rsidR="00847CAA" w:rsidRDefault="00847CAA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на </w:t>
      </w:r>
      <w:r w:rsidR="008F6F38" w:rsidRPr="008F6F38">
        <w:rPr>
          <w:b/>
          <w:bCs/>
          <w:color w:val="000000"/>
          <w:sz w:val="28"/>
          <w:szCs w:val="28"/>
        </w:rPr>
        <w:t xml:space="preserve">автомобильном транспорте и в дорожном хозяйстве </w:t>
      </w:r>
      <w:r w:rsidR="008F6F3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Тарногского муниципального округа на</w:t>
      </w:r>
      <w:r w:rsidR="008F6F3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2024 год</w:t>
      </w:r>
    </w:p>
    <w:p w:rsidR="006B4902" w:rsidRDefault="006B4902" w:rsidP="00847CAA">
      <w:pPr>
        <w:jc w:val="center"/>
        <w:rPr>
          <w:b/>
          <w:bCs/>
          <w:color w:val="000000"/>
          <w:sz w:val="28"/>
          <w:szCs w:val="28"/>
        </w:rPr>
      </w:pPr>
    </w:p>
    <w:p w:rsidR="00847CAA" w:rsidRPr="0012780F" w:rsidRDefault="006B4902" w:rsidP="00847CAA">
      <w:pPr>
        <w:jc w:val="center"/>
        <w:rPr>
          <w:b/>
          <w:bCs/>
          <w:color w:val="000000"/>
          <w:sz w:val="28"/>
          <w:szCs w:val="28"/>
        </w:rPr>
      </w:pPr>
      <w:r w:rsidRPr="0012780F">
        <w:rPr>
          <w:b/>
          <w:color w:val="000000"/>
          <w:sz w:val="28"/>
          <w:szCs w:val="28"/>
        </w:rPr>
        <w:t xml:space="preserve">Раздел I. Анализ текущего состояния осуществления </w:t>
      </w:r>
      <w:r w:rsidR="008F6F38" w:rsidRPr="0012780F">
        <w:rPr>
          <w:b/>
          <w:color w:val="000000"/>
          <w:sz w:val="28"/>
          <w:szCs w:val="28"/>
        </w:rPr>
        <w:t xml:space="preserve">муниципального </w:t>
      </w:r>
      <w:r w:rsidRPr="0012780F">
        <w:rPr>
          <w:b/>
          <w:color w:val="000000"/>
          <w:sz w:val="28"/>
          <w:szCs w:val="28"/>
        </w:rPr>
        <w:t>контроля,</w:t>
      </w:r>
      <w:r w:rsidR="008F6F38" w:rsidRPr="0012780F">
        <w:rPr>
          <w:b/>
          <w:color w:val="000000"/>
          <w:sz w:val="28"/>
          <w:szCs w:val="28"/>
        </w:rPr>
        <w:t xml:space="preserve"> </w:t>
      </w:r>
      <w:r w:rsidRPr="0012780F">
        <w:rPr>
          <w:b/>
          <w:color w:val="000000"/>
          <w:sz w:val="28"/>
          <w:szCs w:val="28"/>
        </w:rPr>
        <w:t>описание текущего развития профилактической деятельности контрольного</w:t>
      </w:r>
      <w:r w:rsidR="008F6F38" w:rsidRPr="0012780F">
        <w:rPr>
          <w:b/>
          <w:color w:val="000000"/>
          <w:sz w:val="28"/>
          <w:szCs w:val="28"/>
        </w:rPr>
        <w:t xml:space="preserve"> </w:t>
      </w:r>
      <w:r w:rsidRPr="0012780F">
        <w:rPr>
          <w:b/>
          <w:color w:val="000000"/>
          <w:sz w:val="28"/>
          <w:szCs w:val="28"/>
        </w:rPr>
        <w:t>(надзорного) органа, характеристика проблем, на решение которых</w:t>
      </w:r>
      <w:r w:rsidR="008F6F38" w:rsidRPr="0012780F">
        <w:rPr>
          <w:b/>
          <w:color w:val="000000"/>
          <w:sz w:val="28"/>
          <w:szCs w:val="28"/>
        </w:rPr>
        <w:t xml:space="preserve"> </w:t>
      </w:r>
      <w:r w:rsidRPr="0012780F">
        <w:rPr>
          <w:b/>
          <w:color w:val="000000"/>
          <w:sz w:val="28"/>
          <w:szCs w:val="28"/>
        </w:rPr>
        <w:t>направлена программа профилактики</w:t>
      </w:r>
    </w:p>
    <w:p w:rsidR="00847CAA" w:rsidRDefault="00847CAA" w:rsidP="00F819F8">
      <w:pPr>
        <w:rPr>
          <w:sz w:val="28"/>
          <w:szCs w:val="28"/>
        </w:rPr>
      </w:pPr>
    </w:p>
    <w:p w:rsidR="00F819F8" w:rsidRDefault="0012780F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Настоящая П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color w:val="000000"/>
          <w:spacing w:val="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>(далее - Программа профилактики), разработана в соответствии со статьей 44 Федеральног</w:t>
      </w:r>
      <w:r w:rsidR="00F819F8">
        <w:rPr>
          <w:color w:val="000000"/>
          <w:spacing w:val="0"/>
          <w:sz w:val="28"/>
          <w:szCs w:val="28"/>
          <w:lang w:eastAsia="ru-RU"/>
        </w:rPr>
        <w:t xml:space="preserve">о закона от 31 июля 2020 года № 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>248-ФЗ «О государственном контроле (надзоре) и</w:t>
      </w:r>
      <w:r w:rsidR="00F819F8">
        <w:rPr>
          <w:color w:val="000000"/>
          <w:spacing w:val="0"/>
          <w:sz w:val="28"/>
          <w:szCs w:val="28"/>
          <w:lang w:eastAsia="ru-RU"/>
        </w:rPr>
        <w:t xml:space="preserve"> 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>мун</w:t>
      </w:r>
      <w:r w:rsidR="00F819F8" w:rsidRPr="00F819F8">
        <w:rPr>
          <w:spacing w:val="0"/>
          <w:sz w:val="28"/>
          <w:szCs w:val="28"/>
        </w:rPr>
        <w:t>ици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>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>
        <w:rPr>
          <w:color w:val="000000"/>
          <w:spacing w:val="0"/>
          <w:sz w:val="28"/>
          <w:szCs w:val="28"/>
          <w:lang w:eastAsia="ru-RU"/>
        </w:rPr>
        <w:t>ероприятий</w:t>
      </w:r>
      <w:r w:rsidR="008F6F38">
        <w:rPr>
          <w:color w:val="000000"/>
          <w:spacing w:val="0"/>
          <w:sz w:val="28"/>
          <w:szCs w:val="28"/>
          <w:lang w:eastAsia="ru-RU"/>
        </w:rPr>
        <w:t>:</w:t>
      </w:r>
    </w:p>
    <w:p w:rsidR="008F6F38" w:rsidRDefault="008F6F38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12780F">
        <w:rPr>
          <w:color w:val="000000"/>
          <w:spacing w:val="0"/>
          <w:sz w:val="28"/>
          <w:szCs w:val="28"/>
          <w:lang w:eastAsia="ru-RU"/>
        </w:rPr>
        <w:t xml:space="preserve">- муниципальный контроль на автомобильном транспорте и в дорожном хозяйстве </w:t>
      </w:r>
      <w:r w:rsidR="009E7DA2" w:rsidRPr="0012780F">
        <w:rPr>
          <w:color w:val="000000"/>
          <w:spacing w:val="0"/>
          <w:sz w:val="28"/>
          <w:szCs w:val="28"/>
          <w:lang w:eastAsia="ru-RU"/>
        </w:rPr>
        <w:t>на территории Тарногского муниципального округа Вологодской области</w:t>
      </w:r>
      <w:r w:rsidR="0012780F">
        <w:rPr>
          <w:color w:val="000000"/>
          <w:spacing w:val="0"/>
          <w:sz w:val="28"/>
          <w:szCs w:val="28"/>
          <w:lang w:eastAsia="ru-RU"/>
        </w:rPr>
        <w:t xml:space="preserve"> (далее – муниципальный контроль)</w:t>
      </w:r>
      <w:r w:rsidR="009E7DA2">
        <w:rPr>
          <w:color w:val="000000"/>
          <w:spacing w:val="0"/>
          <w:sz w:val="28"/>
          <w:szCs w:val="28"/>
          <w:lang w:eastAsia="ru-RU"/>
        </w:rPr>
        <w:t xml:space="preserve"> за соблюдением юридическими лицами, индивидуальными предпринимателями, гражданами обязательных требований:</w:t>
      </w:r>
    </w:p>
    <w:p w:rsidR="009E7DA2" w:rsidRDefault="009E7DA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9E7DA2" w:rsidRDefault="009E7DA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а) к эксплуатации объектов дорожного сервиса, размещенных</w:t>
      </w:r>
      <w:r w:rsidR="001D51A4">
        <w:rPr>
          <w:color w:val="000000"/>
          <w:spacing w:val="0"/>
          <w:sz w:val="28"/>
          <w:szCs w:val="28"/>
          <w:lang w:eastAsia="ru-RU"/>
        </w:rPr>
        <w:t xml:space="preserve"> в полосах отвода  и (или) придорожных полосах автомобильных дорог общего пользования местного значения;</w:t>
      </w:r>
    </w:p>
    <w:p w:rsidR="001D51A4" w:rsidRDefault="001D51A4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D51A4" w:rsidRDefault="001D51A4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относящиеся к предмету </w:t>
      </w:r>
      <w:r>
        <w:rPr>
          <w:color w:val="000000"/>
          <w:spacing w:val="0"/>
          <w:sz w:val="28"/>
          <w:szCs w:val="28"/>
          <w:lang w:eastAsia="ru-RU"/>
        </w:rPr>
        <w:lastRenderedPageBreak/>
        <w:t xml:space="preserve">муниципального </w:t>
      </w:r>
      <w:r w:rsidR="00CF22B9">
        <w:rPr>
          <w:color w:val="000000"/>
          <w:spacing w:val="0"/>
          <w:sz w:val="28"/>
          <w:szCs w:val="28"/>
          <w:lang w:eastAsia="ru-RU"/>
        </w:rPr>
        <w:t>контроля на автомобильном транспорте и в дорожном хозяйстве в области организации регулярных перевозок.</w:t>
      </w:r>
    </w:p>
    <w:p w:rsidR="00CF22B9" w:rsidRDefault="00CF22B9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Настоящая Программа профилактики </w:t>
      </w:r>
      <w:r w:rsidR="00971B29">
        <w:rPr>
          <w:color w:val="000000"/>
          <w:spacing w:val="0"/>
          <w:sz w:val="28"/>
          <w:szCs w:val="28"/>
          <w:lang w:eastAsia="ru-RU"/>
        </w:rPr>
        <w:t>на территории Тарногского муниципального округа</w:t>
      </w:r>
      <w:r w:rsidR="00EC384D">
        <w:rPr>
          <w:color w:val="000000"/>
          <w:spacing w:val="0"/>
          <w:sz w:val="28"/>
          <w:szCs w:val="28"/>
          <w:lang w:eastAsia="ru-RU"/>
        </w:rPr>
        <w:t xml:space="preserve"> направлена на предупреждение нарушений обязательных требований, требований, установленных муниципальными правовыми актами, соблюдение которых оценивается администрацией Тарногского муниципального округа при проведении мероприятий по контролю, разработана в целях организации проведения профилактики нарушений юридическими лицами и индивидуальными предпринимателями, гражданами обязательных требований, требований, установленных муниципальными правовыми актами, соблюдение которых оценивается органом муниципального контроля при организации и осуществлении мероприятий по контролю.</w:t>
      </w:r>
    </w:p>
    <w:p w:rsidR="00A34C6C" w:rsidRDefault="00A34C6C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Контрольным </w:t>
      </w:r>
      <w:r w:rsidR="0012780F">
        <w:rPr>
          <w:color w:val="000000"/>
          <w:spacing w:val="0"/>
          <w:sz w:val="28"/>
          <w:szCs w:val="28"/>
          <w:lang w:eastAsia="ru-RU"/>
        </w:rPr>
        <w:t xml:space="preserve">надзорным </w:t>
      </w:r>
      <w:r>
        <w:rPr>
          <w:color w:val="000000"/>
          <w:spacing w:val="0"/>
          <w:sz w:val="28"/>
          <w:szCs w:val="28"/>
          <w:lang w:eastAsia="ru-RU"/>
        </w:rPr>
        <w:t>органом в 2023 году осуществляются следующие мероприятия:</w:t>
      </w:r>
    </w:p>
    <w:p w:rsidR="0012780F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размещение</w:t>
      </w:r>
      <w:r w:rsidR="00A34C6C">
        <w:rPr>
          <w:color w:val="000000"/>
          <w:spacing w:val="0"/>
          <w:sz w:val="28"/>
          <w:szCs w:val="28"/>
          <w:lang w:eastAsia="ru-RU"/>
        </w:rPr>
        <w:t xml:space="preserve"> на официальном сайте администрации округа в сети </w:t>
      </w:r>
    </w:p>
    <w:p w:rsidR="00A34C6C" w:rsidRDefault="00A34C6C" w:rsidP="005F2FCC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«Интернет» перечней нормативных правовых</w:t>
      </w:r>
      <w:r w:rsidR="00011175">
        <w:rPr>
          <w:color w:val="000000"/>
          <w:spacing w:val="0"/>
          <w:sz w:val="28"/>
          <w:szCs w:val="28"/>
          <w:lang w:eastAsia="ru-RU"/>
        </w:rPr>
        <w:t xml:space="preserve">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2780F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осуществление информирования юридических лиц, </w:t>
      </w:r>
    </w:p>
    <w:p w:rsidR="00011175" w:rsidRDefault="00011175" w:rsidP="005F2FCC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2780F" w:rsidRDefault="00011175" w:rsidP="00A34C6C">
      <w:pPr>
        <w:pStyle w:val="23"/>
        <w:numPr>
          <w:ilvl w:val="0"/>
          <w:numId w:val="30"/>
        </w:numPr>
        <w:shd w:val="clear" w:color="auto" w:fill="auto"/>
        <w:tabs>
          <w:tab w:val="left" w:pos="2237"/>
        </w:tabs>
        <w:spacing w:line="322" w:lineRule="exact"/>
        <w:ind w:right="2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обеспечение регулярного обобщения практики осуществления </w:t>
      </w:r>
    </w:p>
    <w:p w:rsidR="00011175" w:rsidRDefault="00011175" w:rsidP="005F2FCC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муниципального контроля и размещение на официальном интернет-сайте </w:t>
      </w:r>
      <w:r w:rsidR="0012780F">
        <w:rPr>
          <w:color w:val="000000"/>
          <w:spacing w:val="0"/>
          <w:sz w:val="28"/>
          <w:szCs w:val="28"/>
          <w:lang w:eastAsia="ru-RU"/>
        </w:rPr>
        <w:t>округа</w:t>
      </w:r>
      <w:r>
        <w:rPr>
          <w:color w:val="000000"/>
          <w:spacing w:val="0"/>
          <w:sz w:val="28"/>
          <w:szCs w:val="28"/>
          <w:lang w:eastAsia="ru-RU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A51A5" w:rsidRPr="002A51A5" w:rsidRDefault="002A51A5" w:rsidP="0036057D">
      <w:pPr>
        <w:keepNext/>
        <w:suppressLineNumbers/>
        <w:ind w:firstLine="700"/>
        <w:jc w:val="both"/>
        <w:rPr>
          <w:color w:val="000000"/>
          <w:sz w:val="28"/>
          <w:szCs w:val="28"/>
        </w:rPr>
      </w:pPr>
      <w:r w:rsidRPr="002A51A5">
        <w:rPr>
          <w:color w:val="000000"/>
          <w:sz w:val="28"/>
          <w:szCs w:val="28"/>
        </w:rPr>
        <w:t>Объектами муниципального контроля являются:</w:t>
      </w:r>
    </w:p>
    <w:p w:rsidR="002A51A5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транспортные средства, деятельность по перевозке пассажиров и грузов автомобильным транспортом по муниципальным маршрутам регулярных перевозок, остановочные пункты;</w:t>
      </w:r>
    </w:p>
    <w:p w:rsidR="0036057D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автомобильные дороги общего пользования и искусственные дорожные сооружения на ней,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6057D" w:rsidRPr="002A51A5" w:rsidRDefault="0036057D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деятельность по использованию полос отвода и (или) придорожных полос автомобильных дорог общего пользования и объекты дорожного сервиса, расположенные в границах полос отвода и (или) придорожных полос автомобильных дорог общего пользования. </w:t>
      </w:r>
    </w:p>
    <w:p w:rsidR="00F819F8" w:rsidRDefault="00F819F8" w:rsidP="002A51A5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lastRenderedPageBreak/>
        <w:t>Контролируемыми лицами муниципального контроля являются как юридические лица, индивидуальные предприниматели, осуществляющие хозяйственную и иную деятельность, так и граждане Российской Федерации (далее - контролируемые лица).</w:t>
      </w:r>
    </w:p>
    <w:p w:rsidR="00F819F8" w:rsidRDefault="00F819F8" w:rsidP="00F819F8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 xml:space="preserve">Главной задачей </w:t>
      </w:r>
      <w:r w:rsidR="0012780F">
        <w:rPr>
          <w:spacing w:val="0"/>
          <w:sz w:val="28"/>
          <w:szCs w:val="28"/>
          <w:lang w:eastAsia="ru-RU"/>
        </w:rPr>
        <w:t>Контрольного надзорного</w:t>
      </w:r>
      <w:r w:rsidR="002A51A5">
        <w:rPr>
          <w:spacing w:val="0"/>
          <w:sz w:val="28"/>
          <w:szCs w:val="28"/>
          <w:lang w:eastAsia="ru-RU"/>
        </w:rPr>
        <w:t xml:space="preserve"> органа</w:t>
      </w:r>
      <w:r w:rsidRPr="00F819F8">
        <w:rPr>
          <w:color w:val="000000"/>
          <w:spacing w:val="0"/>
          <w:sz w:val="28"/>
          <w:szCs w:val="28"/>
          <w:lang w:eastAsia="ru-RU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Постоянное совершенствование и развитие тематического раздела</w:t>
      </w:r>
      <w:r>
        <w:rPr>
          <w:sz w:val="28"/>
          <w:szCs w:val="28"/>
        </w:rPr>
        <w:t xml:space="preserve"> </w:t>
      </w:r>
      <w:r w:rsidRPr="00B15EC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Тарногского</w:t>
      </w:r>
      <w:r w:rsidRPr="00B15EC5">
        <w:rPr>
          <w:sz w:val="28"/>
          <w:szCs w:val="28"/>
        </w:rPr>
        <w:t xml:space="preserve"> муниципального округа  в информационно-телекоммуникационной сети </w:t>
      </w:r>
      <w:r w:rsidR="0012780F">
        <w:rPr>
          <w:sz w:val="28"/>
          <w:szCs w:val="28"/>
        </w:rPr>
        <w:t>«</w:t>
      </w:r>
      <w:r w:rsidRPr="00B15EC5">
        <w:rPr>
          <w:sz w:val="28"/>
          <w:szCs w:val="28"/>
        </w:rPr>
        <w:t>Интернет</w:t>
      </w:r>
      <w:r w:rsidR="0012780F">
        <w:rPr>
          <w:sz w:val="28"/>
          <w:szCs w:val="28"/>
        </w:rPr>
        <w:t>»</w:t>
      </w:r>
      <w:r w:rsidRPr="00B15EC5">
        <w:rPr>
          <w:sz w:val="28"/>
          <w:szCs w:val="28"/>
        </w:rPr>
        <w:t xml:space="preserve"> (далее - официальный интернет-сайт):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</w:t>
      </w:r>
      <w:r w:rsidR="0036057D">
        <w:rPr>
          <w:sz w:val="28"/>
          <w:szCs w:val="28"/>
        </w:rPr>
        <w:t xml:space="preserve"> на автомобильном транспорте и в дорожном хозяйстве</w:t>
      </w:r>
      <w:r w:rsidRPr="00B15EC5">
        <w:rPr>
          <w:sz w:val="28"/>
          <w:szCs w:val="28"/>
        </w:rPr>
        <w:t>, их контактных данных;</w:t>
      </w:r>
    </w:p>
    <w:p w:rsidR="002A51A5" w:rsidRDefault="002A51A5" w:rsidP="002A51A5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B15EC5">
        <w:rPr>
          <w:sz w:val="28"/>
          <w:szCs w:val="28"/>
        </w:rPr>
        <w:t>б) своевременное размещение информации о проведении проверок, результатов проверок, подготовка развернутых ответов на часто задаваемые вопросы;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законодательства. 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Устное консультирование контролируемых лиц и (или) их представителей на личном приеме, а также по телефону.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законодательства с рекомендациями в отношении мер, которые должны приниматься в целях недопущения таких нарушений.</w:t>
      </w:r>
    </w:p>
    <w:p w:rsidR="002A51A5" w:rsidRDefault="002A51A5" w:rsidP="002466F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819F8" w:rsidRPr="0012780F" w:rsidRDefault="00F819F8" w:rsidP="0012780F">
      <w:pPr>
        <w:pStyle w:val="23"/>
        <w:shd w:val="clear" w:color="auto" w:fill="auto"/>
        <w:spacing w:after="312" w:line="240" w:lineRule="exact"/>
        <w:ind w:left="993" w:hanging="426"/>
        <w:jc w:val="both"/>
        <w:rPr>
          <w:b/>
          <w:sz w:val="28"/>
          <w:szCs w:val="28"/>
        </w:rPr>
      </w:pPr>
      <w:r w:rsidRPr="0012780F">
        <w:rPr>
          <w:b/>
          <w:color w:val="000000"/>
          <w:sz w:val="28"/>
          <w:szCs w:val="28"/>
          <w:lang w:eastAsia="ru-RU" w:bidi="ru-RU"/>
        </w:rPr>
        <w:t>Раздел II. Цели и задачи реализации Программы профилактики</w:t>
      </w:r>
    </w:p>
    <w:p w:rsidR="00F819F8" w:rsidRPr="002466F2" w:rsidRDefault="00F819F8" w:rsidP="00F819F8">
      <w:pPr>
        <w:pStyle w:val="23"/>
        <w:numPr>
          <w:ilvl w:val="0"/>
          <w:numId w:val="22"/>
        </w:numPr>
        <w:shd w:val="clear" w:color="auto" w:fill="auto"/>
        <w:spacing w:line="322" w:lineRule="exact"/>
        <w:ind w:left="120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вреда (ущерба) </w:t>
      </w:r>
      <w:r w:rsidR="002466F2" w:rsidRPr="002466F2">
        <w:rPr>
          <w:rFonts w:ascii="TimesNewRomanPSMT" w:hAnsi="TimesNewRomanPSMT"/>
          <w:color w:val="000000"/>
          <w:sz w:val="28"/>
          <w:szCs w:val="28"/>
        </w:rPr>
        <w:t>охраняемым законом ценностям</w:t>
      </w:r>
      <w:r w:rsidRPr="002466F2">
        <w:rPr>
          <w:rFonts w:ascii="TimesNewRomanPSMT" w:hAnsi="TimesNewRomanPSMT"/>
          <w:color w:val="000000"/>
          <w:sz w:val="28"/>
          <w:szCs w:val="28"/>
        </w:rPr>
        <w:t xml:space="preserve">; 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>предупреждение возможного нарушения подконтрольными субъектами обязательных требований;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645EA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контролируемых </w:t>
      </w:r>
      <w:r w:rsidR="002466F2">
        <w:rPr>
          <w:rFonts w:ascii="TimesNewRomanPSMT" w:hAnsi="TimesNewRomanPSMT"/>
          <w:color w:val="000000"/>
          <w:sz w:val="28"/>
          <w:szCs w:val="28"/>
        </w:rPr>
        <w:t>лиц о способах их соблюдения.</w:t>
      </w:r>
    </w:p>
    <w:p w:rsidR="002466F2" w:rsidRPr="002466F2" w:rsidRDefault="002466F2" w:rsidP="002466F2">
      <w:pPr>
        <w:pStyle w:val="23"/>
        <w:numPr>
          <w:ilvl w:val="0"/>
          <w:numId w:val="22"/>
        </w:numPr>
        <w:shd w:val="clear" w:color="auto" w:fill="auto"/>
        <w:spacing w:line="322" w:lineRule="exact"/>
        <w:ind w:left="120" w:right="-1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Для достижения целей Программы профилактики выполняются </w:t>
      </w: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lastRenderedPageBreak/>
        <w:t>следующие задачи: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выявление причин, факторов и условий, влекущих нарушения обязательных требований законодательства, определение способов их устранения или снижения;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информирование контролируемых лиц о содержании обязательных требований законодательства;</w:t>
      </w:r>
    </w:p>
    <w:p w:rsid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реализация мер по устранению причин, факторов и условий, способствующих нарушению обязательных требований законодательства контролируемыми лицами.</w:t>
      </w: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Pr="0012780F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12780F">
        <w:rPr>
          <w:b/>
          <w:color w:val="000000"/>
          <w:sz w:val="28"/>
          <w:szCs w:val="28"/>
          <w:lang w:eastAsia="ru-RU" w:bidi="ru-RU"/>
        </w:rPr>
        <w:t>Раздел III. Перечень профилактических мероприятий, сроки (периодичность) их проведения</w:t>
      </w: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4026"/>
        <w:gridCol w:w="2522"/>
        <w:gridCol w:w="2426"/>
      </w:tblGrid>
      <w:tr w:rsidR="002466F2" w:rsidTr="00CE6351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№</w:t>
            </w:r>
          </w:p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п/п</w:t>
            </w:r>
          </w:p>
        </w:tc>
        <w:tc>
          <w:tcPr>
            <w:tcW w:w="40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522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4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Исполнитель</w:t>
            </w:r>
          </w:p>
        </w:tc>
      </w:tr>
      <w:tr w:rsidR="002466F2" w:rsidTr="00CE6351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4</w:t>
            </w:r>
          </w:p>
        </w:tc>
      </w:tr>
      <w:tr w:rsidR="002466F2" w:rsidTr="00CE6351">
        <w:trPr>
          <w:trHeight w:val="2707"/>
        </w:trPr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26" w:type="dxa"/>
          </w:tcPr>
          <w:p w:rsidR="002466F2" w:rsidRDefault="00CE6351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CE6351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Информирование </w:t>
            </w:r>
          </w:p>
          <w:p w:rsidR="00CE6351" w:rsidRPr="00CE6351" w:rsidRDefault="00CE6351" w:rsidP="005F2FCC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округа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Постоянно, по мере внесения изменений в нормативно - правовые акты</w:t>
            </w:r>
          </w:p>
        </w:tc>
        <w:tc>
          <w:tcPr>
            <w:tcW w:w="2426" w:type="dxa"/>
          </w:tcPr>
          <w:p w:rsidR="005F2FCC" w:rsidRDefault="005F2FCC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энергетики и ЖКХ</w:t>
            </w:r>
          </w:p>
          <w:p w:rsidR="002466F2" w:rsidRPr="002466F2" w:rsidRDefault="005F2FCC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E6351">
              <w:rPr>
                <w:sz w:val="28"/>
                <w:szCs w:val="28"/>
              </w:rPr>
              <w:t xml:space="preserve"> Тарногского муниципального округа</w:t>
            </w:r>
          </w:p>
        </w:tc>
      </w:tr>
      <w:tr w:rsidR="002466F2" w:rsidTr="00CE6351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26" w:type="dxa"/>
            <w:vAlign w:val="bottom"/>
          </w:tcPr>
          <w:p w:rsidR="00CE6351" w:rsidRPr="00CE6351" w:rsidRDefault="00CE6351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Консультирование</w:t>
            </w:r>
          </w:p>
          <w:p w:rsidR="002466F2" w:rsidRPr="002466F2" w:rsidRDefault="002466F2" w:rsidP="00CE6351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Консультирование осуществляется специалистами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26" w:type="dxa"/>
          </w:tcPr>
          <w:p w:rsidR="005F2FCC" w:rsidRPr="005F2FCC" w:rsidRDefault="005F2FCC" w:rsidP="005F2FCC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>Отдел строительства, энергетики и ЖКХ</w:t>
            </w:r>
          </w:p>
          <w:p w:rsidR="002466F2" w:rsidRPr="002466F2" w:rsidRDefault="005F2FCC" w:rsidP="005F2FCC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>администрации Тарногского муниципального округа</w:t>
            </w:r>
          </w:p>
        </w:tc>
      </w:tr>
      <w:tr w:rsidR="002466F2" w:rsidTr="005F2FCC">
        <w:tc>
          <w:tcPr>
            <w:tcW w:w="597" w:type="dxa"/>
          </w:tcPr>
          <w:p w:rsidR="002466F2" w:rsidRDefault="00CE6351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26" w:type="dxa"/>
          </w:tcPr>
          <w:p w:rsidR="002466F2" w:rsidRPr="002466F2" w:rsidRDefault="00E52595" w:rsidP="005F2FCC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522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26" w:type="dxa"/>
          </w:tcPr>
          <w:p w:rsidR="005F2FCC" w:rsidRPr="005F2FCC" w:rsidRDefault="005F2FCC" w:rsidP="005F2FCC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>Отдел строительства, энергетики и ЖКХ</w:t>
            </w:r>
          </w:p>
          <w:p w:rsidR="002466F2" w:rsidRPr="002466F2" w:rsidRDefault="005F2FCC" w:rsidP="005F2FCC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 xml:space="preserve">администрации Тарногского </w:t>
            </w:r>
            <w:r w:rsidRPr="005F2FCC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E52595" w:rsidTr="005F2FCC">
        <w:tc>
          <w:tcPr>
            <w:tcW w:w="597" w:type="dxa"/>
          </w:tcPr>
          <w:p w:rsidR="00E52595" w:rsidRDefault="00CE6351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4</w:t>
            </w:r>
          </w:p>
        </w:tc>
        <w:tc>
          <w:tcPr>
            <w:tcW w:w="4026" w:type="dxa"/>
          </w:tcPr>
          <w:p w:rsidR="00E52595" w:rsidRPr="00E52595" w:rsidRDefault="00E52595" w:rsidP="005F2FCC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Утверждение перечня контролируемых лиц, в отношении которых проводятся профилактические визиты. Проведение профилактических визитов</w:t>
            </w:r>
          </w:p>
        </w:tc>
        <w:tc>
          <w:tcPr>
            <w:tcW w:w="2522" w:type="dxa"/>
          </w:tcPr>
          <w:p w:rsidR="00E52595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595">
              <w:rPr>
                <w:sz w:val="28"/>
                <w:szCs w:val="28"/>
              </w:rPr>
              <w:t xml:space="preserve"> соответствии с разрабатываемыми планами проведения профилактических визитов</w:t>
            </w:r>
          </w:p>
        </w:tc>
        <w:tc>
          <w:tcPr>
            <w:tcW w:w="2426" w:type="dxa"/>
          </w:tcPr>
          <w:p w:rsidR="005F2FCC" w:rsidRPr="005F2FCC" w:rsidRDefault="005F2FCC" w:rsidP="005F2FCC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>Отдел строительства, энергетики и ЖКХ</w:t>
            </w:r>
          </w:p>
          <w:p w:rsidR="00E52595" w:rsidRPr="002466F2" w:rsidRDefault="005F2FCC" w:rsidP="005F2FCC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F2FCC">
              <w:rPr>
                <w:sz w:val="28"/>
                <w:szCs w:val="28"/>
              </w:rPr>
              <w:t>администрации Тарногского муниципального округа</w:t>
            </w:r>
          </w:p>
        </w:tc>
      </w:tr>
    </w:tbl>
    <w:p w:rsidR="002466F2" w:rsidRP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sz w:val="28"/>
          <w:szCs w:val="28"/>
        </w:rPr>
      </w:pPr>
    </w:p>
    <w:p w:rsidR="002466F2" w:rsidRPr="005F2FCC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5F2FCC">
        <w:rPr>
          <w:b/>
          <w:color w:val="000000"/>
          <w:sz w:val="28"/>
          <w:szCs w:val="28"/>
          <w:lang w:eastAsia="ru-RU" w:bidi="ru-RU"/>
        </w:rPr>
        <w:t>Раздел IV. Показатели р</w:t>
      </w:r>
      <w:r w:rsidR="005F2FCC">
        <w:rPr>
          <w:b/>
          <w:color w:val="000000"/>
          <w:sz w:val="28"/>
          <w:szCs w:val="28"/>
          <w:lang w:eastAsia="ru-RU" w:bidi="ru-RU"/>
        </w:rPr>
        <w:t xml:space="preserve">езультативности и эффективности </w:t>
      </w:r>
      <w:r w:rsidRPr="005F2FCC">
        <w:rPr>
          <w:b/>
          <w:color w:val="000000"/>
          <w:sz w:val="28"/>
          <w:szCs w:val="28"/>
          <w:lang w:eastAsia="ru-RU" w:bidi="ru-RU"/>
        </w:rPr>
        <w:t>Программы</w:t>
      </w:r>
      <w:r w:rsidR="005F2FCC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5F2FCC">
        <w:rPr>
          <w:b/>
          <w:color w:val="000000"/>
          <w:sz w:val="28"/>
          <w:szCs w:val="28"/>
          <w:lang w:eastAsia="ru-RU" w:bidi="ru-RU"/>
        </w:rPr>
        <w:t>Профилактики</w:t>
      </w:r>
    </w:p>
    <w:p w:rsidR="002466F2" w:rsidRPr="005F2FCC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2466F2" w:rsidRPr="00E52595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Показателями результативности мероприятий Программы профилактики являются:</w:t>
      </w:r>
    </w:p>
    <w:p w:rsid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2595">
        <w:rPr>
          <w:sz w:val="28"/>
          <w:szCs w:val="28"/>
        </w:rPr>
        <w:t>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</w:r>
      <w:r>
        <w:rPr>
          <w:sz w:val="28"/>
          <w:szCs w:val="28"/>
        </w:rPr>
        <w:t>;</w:t>
      </w:r>
    </w:p>
    <w:p w:rsidR="00E52595" w:rsidRP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разъяснений по воп</w:t>
      </w:r>
      <w:r w:rsidR="00CE6351">
        <w:rPr>
          <w:color w:val="000000"/>
          <w:sz w:val="28"/>
          <w:szCs w:val="28"/>
          <w:lang w:eastAsia="ru-RU" w:bidi="ru-RU"/>
        </w:rPr>
        <w:t>росам соблюдения требований</w:t>
      </w:r>
      <w:r w:rsidRPr="002466F2">
        <w:rPr>
          <w:color w:val="000000"/>
          <w:sz w:val="28"/>
          <w:szCs w:val="28"/>
          <w:lang w:eastAsia="ru-RU" w:bidi="ru-RU"/>
        </w:rPr>
        <w:t xml:space="preserve"> законодательства на официальном сайте </w:t>
      </w:r>
      <w:r>
        <w:rPr>
          <w:color w:val="000000"/>
          <w:sz w:val="28"/>
          <w:szCs w:val="28"/>
          <w:lang w:eastAsia="ru-RU" w:bidi="ru-RU"/>
        </w:rPr>
        <w:t>Тарногского</w:t>
      </w:r>
      <w:r w:rsidRPr="002466F2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>
        <w:rPr>
          <w:color w:val="000000"/>
          <w:sz w:val="28"/>
          <w:szCs w:val="28"/>
          <w:lang w:eastAsia="ru-RU" w:bidi="ru-RU"/>
        </w:rPr>
        <w:t>округа;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проведенных профилактических мероприятий;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объявленных предостережений о недопустимости нарушения обязательных требований.</w:t>
      </w:r>
    </w:p>
    <w:p w:rsidR="002466F2" w:rsidRPr="002466F2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 Показатели эффективности Программы профилактики: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19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Удовлетворенность доступностью на официальном сайте Тарногского муниципального округа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9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Удовлетворенность контрол</w:t>
            </w:r>
            <w:r w:rsidR="005F2FCC">
              <w:rPr>
                <w:color w:val="000000"/>
                <w:sz w:val="28"/>
                <w:szCs w:val="28"/>
                <w:lang w:eastAsia="ru-RU" w:bidi="ru-RU"/>
              </w:rPr>
              <w:t>ируемых лиц и их представителей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E52595" w:rsidRDefault="0001089F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90% от числа обратившихся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E52595" w:rsidRDefault="00296836" w:rsidP="00296836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100% мероприятий, предусмотренных перечнем</w:t>
            </w:r>
          </w:p>
        </w:tc>
      </w:tr>
    </w:tbl>
    <w:p w:rsidR="00296836" w:rsidRDefault="00296836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296836" w:rsidRDefault="00296836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="005F2FCC">
        <w:rPr>
          <w:color w:val="000000"/>
          <w:sz w:val="28"/>
          <w:szCs w:val="28"/>
        </w:rPr>
        <w:t xml:space="preserve"> на автомобильном транспорте и в дорожном </w:t>
      </w:r>
      <w:r w:rsidR="005F2FCC">
        <w:rPr>
          <w:color w:val="000000"/>
          <w:sz w:val="28"/>
          <w:szCs w:val="28"/>
        </w:rPr>
        <w:lastRenderedPageBreak/>
        <w:t>хозяйстве</w:t>
      </w:r>
      <w:r>
        <w:rPr>
          <w:color w:val="000000"/>
          <w:sz w:val="28"/>
          <w:szCs w:val="28"/>
        </w:rPr>
        <w:t xml:space="preserve"> на</w:t>
      </w:r>
      <w:r w:rsidR="00287C4B">
        <w:rPr>
          <w:color w:val="000000"/>
          <w:sz w:val="28"/>
          <w:szCs w:val="28"/>
        </w:rPr>
        <w:t xml:space="preserve"> территории Тарногского муниципального округа.</w:t>
      </w:r>
    </w:p>
    <w:p w:rsidR="00E52595" w:rsidRDefault="00FF6D9A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>Сведения о достижении показателей результативности и эффективности Программы включаются администрацией Тарногского муниципального округа Вологодской области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sectPr w:rsidR="00E52595" w:rsidSect="00F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3132"/>
    <w:multiLevelType w:val="multilevel"/>
    <w:tmpl w:val="01BE37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66F43"/>
    <w:multiLevelType w:val="multilevel"/>
    <w:tmpl w:val="682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2138"/>
    <w:multiLevelType w:val="hybridMultilevel"/>
    <w:tmpl w:val="3F086DFA"/>
    <w:lvl w:ilvl="0" w:tplc="83B2A72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F152C4"/>
    <w:multiLevelType w:val="multilevel"/>
    <w:tmpl w:val="FBB8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04BB"/>
    <w:multiLevelType w:val="hybridMultilevel"/>
    <w:tmpl w:val="66EE19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F14746"/>
    <w:multiLevelType w:val="hybridMultilevel"/>
    <w:tmpl w:val="0B4A63C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73B3"/>
    <w:multiLevelType w:val="multilevel"/>
    <w:tmpl w:val="E97C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23131C"/>
    <w:multiLevelType w:val="hybridMultilevel"/>
    <w:tmpl w:val="5DB45CE0"/>
    <w:lvl w:ilvl="0" w:tplc="F708A3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47474"/>
    <w:multiLevelType w:val="hybridMultilevel"/>
    <w:tmpl w:val="C666E8F2"/>
    <w:lvl w:ilvl="0" w:tplc="455E7A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6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602D02"/>
    <w:multiLevelType w:val="hybridMultilevel"/>
    <w:tmpl w:val="A95C9CE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725214D"/>
    <w:multiLevelType w:val="hybridMultilevel"/>
    <w:tmpl w:val="9C3AE92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30"/>
  </w:num>
  <w:num w:numId="5">
    <w:abstractNumId w:val="18"/>
  </w:num>
  <w:num w:numId="6">
    <w:abstractNumId w:val="1"/>
  </w:num>
  <w:num w:numId="7">
    <w:abstractNumId w:val="4"/>
  </w:num>
  <w:num w:numId="8">
    <w:abstractNumId w:val="22"/>
  </w:num>
  <w:num w:numId="9">
    <w:abstractNumId w:val="25"/>
  </w:num>
  <w:num w:numId="10">
    <w:abstractNumId w:val="29"/>
  </w:num>
  <w:num w:numId="11">
    <w:abstractNumId w:val="16"/>
  </w:num>
  <w:num w:numId="12">
    <w:abstractNumId w:val="26"/>
  </w:num>
  <w:num w:numId="13">
    <w:abstractNumId w:val="27"/>
  </w:num>
  <w:num w:numId="14">
    <w:abstractNumId w:val="2"/>
  </w:num>
  <w:num w:numId="15">
    <w:abstractNumId w:val="15"/>
  </w:num>
  <w:num w:numId="16">
    <w:abstractNumId w:val="21"/>
  </w:num>
  <w:num w:numId="17">
    <w:abstractNumId w:val="24"/>
  </w:num>
  <w:num w:numId="18">
    <w:abstractNumId w:val="7"/>
  </w:num>
  <w:num w:numId="19">
    <w:abstractNumId w:val="17"/>
  </w:num>
  <w:num w:numId="20">
    <w:abstractNumId w:val="9"/>
  </w:num>
  <w:num w:numId="21">
    <w:abstractNumId w:val="14"/>
  </w:num>
  <w:num w:numId="22">
    <w:abstractNumId w:val="6"/>
  </w:num>
  <w:num w:numId="23">
    <w:abstractNumId w:val="28"/>
  </w:num>
  <w:num w:numId="24">
    <w:abstractNumId w:val="3"/>
  </w:num>
  <w:num w:numId="25">
    <w:abstractNumId w:val="20"/>
  </w:num>
  <w:num w:numId="26">
    <w:abstractNumId w:val="11"/>
  </w:num>
  <w:num w:numId="27">
    <w:abstractNumId w:val="0"/>
  </w:num>
  <w:num w:numId="28">
    <w:abstractNumId w:val="8"/>
  </w:num>
  <w:num w:numId="29">
    <w:abstractNumId w:val="10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7"/>
    <w:rsid w:val="0001089F"/>
    <w:rsid w:val="00011175"/>
    <w:rsid w:val="00021CBE"/>
    <w:rsid w:val="00083F4E"/>
    <w:rsid w:val="000A711C"/>
    <w:rsid w:val="000E739E"/>
    <w:rsid w:val="0012780F"/>
    <w:rsid w:val="001D51A4"/>
    <w:rsid w:val="001D531C"/>
    <w:rsid w:val="002466F2"/>
    <w:rsid w:val="002607E6"/>
    <w:rsid w:val="00287C4B"/>
    <w:rsid w:val="00296836"/>
    <w:rsid w:val="002A51A5"/>
    <w:rsid w:val="002E04FF"/>
    <w:rsid w:val="00341942"/>
    <w:rsid w:val="0036057D"/>
    <w:rsid w:val="003D4E44"/>
    <w:rsid w:val="003F23B0"/>
    <w:rsid w:val="003F5747"/>
    <w:rsid w:val="004717CD"/>
    <w:rsid w:val="0056546B"/>
    <w:rsid w:val="005F2FCC"/>
    <w:rsid w:val="00622217"/>
    <w:rsid w:val="00630E48"/>
    <w:rsid w:val="006808EA"/>
    <w:rsid w:val="006B4902"/>
    <w:rsid w:val="006B63D7"/>
    <w:rsid w:val="00705C40"/>
    <w:rsid w:val="007B1124"/>
    <w:rsid w:val="00830382"/>
    <w:rsid w:val="00847CAA"/>
    <w:rsid w:val="00850A78"/>
    <w:rsid w:val="008A0003"/>
    <w:rsid w:val="008B0E79"/>
    <w:rsid w:val="008F6F38"/>
    <w:rsid w:val="00934D97"/>
    <w:rsid w:val="00963DD1"/>
    <w:rsid w:val="00971B29"/>
    <w:rsid w:val="009E7C98"/>
    <w:rsid w:val="009E7DA2"/>
    <w:rsid w:val="00A34C6C"/>
    <w:rsid w:val="00A42C7B"/>
    <w:rsid w:val="00C01677"/>
    <w:rsid w:val="00C07AA3"/>
    <w:rsid w:val="00C432AA"/>
    <w:rsid w:val="00C72DA6"/>
    <w:rsid w:val="00C91439"/>
    <w:rsid w:val="00CE6351"/>
    <w:rsid w:val="00CF0F24"/>
    <w:rsid w:val="00CF22B9"/>
    <w:rsid w:val="00D00E8C"/>
    <w:rsid w:val="00D645EA"/>
    <w:rsid w:val="00DA3EAB"/>
    <w:rsid w:val="00E52595"/>
    <w:rsid w:val="00E60C82"/>
    <w:rsid w:val="00EC384D"/>
    <w:rsid w:val="00F02496"/>
    <w:rsid w:val="00F819F8"/>
    <w:rsid w:val="00FB404C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AFEE-3BEA-4E82-A72E-80ED03E6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2023-10-19T06:59:00Z</cp:lastPrinted>
  <dcterms:created xsi:type="dcterms:W3CDTF">2023-10-16T08:39:00Z</dcterms:created>
  <dcterms:modified xsi:type="dcterms:W3CDTF">2023-10-20T06:10:00Z</dcterms:modified>
</cp:coreProperties>
</file>