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МАКСИМАЛЬНО ДОПУСТИМОГО УРОВНЯ Т</w:t>
      </w:r>
      <w:r w:rsidR="00E71E28">
        <w:rPr>
          <w:b/>
          <w:sz w:val="28"/>
          <w:szCs w:val="28"/>
        </w:rPr>
        <w:t>ЕРРИТОРИ</w:t>
      </w:r>
      <w:r w:rsidRPr="00C15A28">
        <w:rPr>
          <w:b/>
          <w:sz w:val="28"/>
          <w:szCs w:val="28"/>
        </w:rPr>
        <w:t xml:space="preserve">АЛЬНОЙ ДОСТУПНОСТИ </w:t>
      </w:r>
      <w:r w:rsidR="00E71E28">
        <w:rPr>
          <w:b/>
          <w:sz w:val="28"/>
          <w:szCs w:val="28"/>
        </w:rPr>
        <w:t xml:space="preserve"> </w:t>
      </w:r>
      <w:r w:rsidRPr="00C15A28">
        <w:rPr>
          <w:b/>
          <w:sz w:val="28"/>
          <w:szCs w:val="28"/>
        </w:rPr>
        <w:t xml:space="preserve">ТАКИХ ОБЪЕКТОВ ДЛЯ НАСЕЛЕНИЯ </w:t>
      </w:r>
      <w:r w:rsidR="001C45AE">
        <w:rPr>
          <w:b/>
          <w:sz w:val="28"/>
          <w:szCs w:val="28"/>
        </w:rPr>
        <w:t>ЗАБОРСКОГО</w:t>
      </w:r>
      <w:r w:rsidR="00E047A9">
        <w:rPr>
          <w:b/>
          <w:sz w:val="28"/>
          <w:szCs w:val="28"/>
        </w:rPr>
        <w:t xml:space="preserve"> </w:t>
      </w:r>
      <w:r w:rsidR="0021260C">
        <w:rPr>
          <w:b/>
          <w:sz w:val="28"/>
          <w:szCs w:val="28"/>
        </w:rPr>
        <w:t>СЕЛЬСКОГО ПОСЕЛЕНИЯ</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proofErr w:type="spellStart"/>
      <w:r w:rsidR="001C45AE">
        <w:rPr>
          <w:rStyle w:val="1ff0"/>
          <w:sz w:val="28"/>
          <w:szCs w:val="28"/>
        </w:rPr>
        <w:t>Заборского</w:t>
      </w:r>
      <w:proofErr w:type="spellEnd"/>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w:t>
      </w:r>
      <w:proofErr w:type="gramStart"/>
      <w:r w:rsidRPr="00BD3CEC">
        <w:rPr>
          <w:rStyle w:val="1ff0"/>
          <w:sz w:val="28"/>
          <w:szCs w:val="28"/>
        </w:rPr>
        <w:t xml:space="preserve">нормативных документов, регламентирующих градостроительную деятельность в </w:t>
      </w:r>
      <w:proofErr w:type="spellStart"/>
      <w:r w:rsidR="001C45AE">
        <w:rPr>
          <w:rStyle w:val="1ff0"/>
          <w:sz w:val="28"/>
          <w:szCs w:val="28"/>
        </w:rPr>
        <w:t>Заборского</w:t>
      </w:r>
      <w:proofErr w:type="spellEnd"/>
      <w:r w:rsidR="00E047A9">
        <w:rPr>
          <w:rStyle w:val="1ff0"/>
          <w:sz w:val="28"/>
          <w:szCs w:val="28"/>
        </w:rPr>
        <w:t xml:space="preserve"> </w:t>
      </w:r>
      <w:r>
        <w:rPr>
          <w:rStyle w:val="1ff0"/>
          <w:sz w:val="28"/>
          <w:szCs w:val="28"/>
        </w:rPr>
        <w:t>сельском поселении</w:t>
      </w:r>
      <w:r w:rsidRPr="00BD3CEC">
        <w:rPr>
          <w:rStyle w:val="1ff0"/>
          <w:sz w:val="28"/>
          <w:szCs w:val="28"/>
        </w:rPr>
        <w:t xml:space="preserve"> и устанавливают</w:t>
      </w:r>
      <w:proofErr w:type="gramEnd"/>
      <w:r w:rsidRPr="00BD3CEC">
        <w:rPr>
          <w:rStyle w:val="1ff0"/>
          <w:sz w:val="28"/>
          <w:szCs w:val="28"/>
        </w:rPr>
        <w:t xml:space="preserve"> требования, обязательные для всех субъектов градостроительных отношений, осуществляющих свою деятельность на территории </w:t>
      </w:r>
      <w:proofErr w:type="spellStart"/>
      <w:r w:rsidR="001C45AE">
        <w:rPr>
          <w:rStyle w:val="1ff0"/>
          <w:sz w:val="28"/>
          <w:szCs w:val="28"/>
        </w:rPr>
        <w:t>Заборского</w:t>
      </w:r>
      <w:proofErr w:type="spellEnd"/>
      <w:r w:rsidR="00E71E28">
        <w:rPr>
          <w:rStyle w:val="1ff0"/>
          <w:sz w:val="28"/>
          <w:szCs w:val="28"/>
        </w:rPr>
        <w:t xml:space="preserve"> </w:t>
      </w:r>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E047A9">
        <w:rPr>
          <w:b/>
          <w:sz w:val="28"/>
          <w:szCs w:val="28"/>
        </w:rPr>
        <w:t xml:space="preserve"> </w:t>
      </w:r>
      <w:r w:rsidR="001C45AE">
        <w:rPr>
          <w:b/>
          <w:sz w:val="28"/>
          <w:szCs w:val="28"/>
        </w:rPr>
        <w:t>ЗАБОРСКОГО</w:t>
      </w:r>
      <w:r w:rsidR="00E047A9">
        <w:rPr>
          <w:b/>
          <w:sz w:val="28"/>
          <w:szCs w:val="28"/>
        </w:rPr>
        <w:t xml:space="preserve"> </w:t>
      </w:r>
      <w:r w:rsidR="00377838">
        <w:rPr>
          <w:b/>
          <w:sz w:val="28"/>
          <w:szCs w:val="28"/>
        </w:rPr>
        <w:t>СЕЛЬСКОГО ПОСЕЛЕНИЯ</w:t>
      </w:r>
      <w:r w:rsidRPr="00C15A2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1C45AE">
        <w:rPr>
          <w:b/>
          <w:sz w:val="28"/>
          <w:szCs w:val="28"/>
        </w:rPr>
        <w:t>ЗАБОРСКОГО</w:t>
      </w:r>
      <w:r w:rsidR="00E047A9">
        <w:rPr>
          <w:b/>
          <w:sz w:val="28"/>
          <w:szCs w:val="28"/>
        </w:rPr>
        <w:t xml:space="preserve"> </w:t>
      </w:r>
      <w:r w:rsidR="00D727B6">
        <w:rPr>
          <w:b/>
          <w:sz w:val="28"/>
          <w:szCs w:val="28"/>
        </w:rPr>
        <w:t>СЕЛЬСКОГО ПОСЕЛЕНИЯ</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proofErr w:type="spellStart"/>
      <w:r w:rsidR="001C45AE">
        <w:rPr>
          <w:rStyle w:val="1ff0"/>
          <w:sz w:val="28"/>
          <w:szCs w:val="28"/>
        </w:rPr>
        <w:t>Заборского</w:t>
      </w:r>
      <w:proofErr w:type="spellEnd"/>
      <w:r w:rsidR="00E047A9">
        <w:rPr>
          <w:rStyle w:val="1ff0"/>
          <w:sz w:val="28"/>
          <w:szCs w:val="28"/>
        </w:rPr>
        <w:t xml:space="preserve"> </w:t>
      </w:r>
      <w:r w:rsidR="0021260C">
        <w:rPr>
          <w:rStyle w:val="1ff0"/>
          <w:sz w:val="28"/>
          <w:szCs w:val="28"/>
        </w:rPr>
        <w:t>сельского поселения</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w:t>
      </w:r>
      <w:proofErr w:type="gramStart"/>
      <w:r w:rsidRPr="00BD3CEC">
        <w:rPr>
          <w:rStyle w:val="1ff0"/>
          <w:sz w:val="28"/>
          <w:szCs w:val="28"/>
        </w:rPr>
        <w:t>и</w:t>
      </w:r>
      <w:r w:rsidR="0021260C">
        <w:rPr>
          <w:rStyle w:val="1ff0"/>
          <w:sz w:val="28"/>
          <w:szCs w:val="28"/>
        </w:rPr>
        <w:t>(</w:t>
      </w:r>
      <w:proofErr w:type="gramEnd"/>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8"/>
          <w:footerReference w:type="default" r:id="rId9"/>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sz w:val="22"/>
                <w:szCs w:val="22"/>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sz w:val="22"/>
                <w:szCs w:val="22"/>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sz w:val="22"/>
                <w:szCs w:val="22"/>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 </w:t>
            </w:r>
            <w:proofErr w:type="gramStart"/>
            <w:r w:rsidRPr="00654787">
              <w:rPr>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кВт·</w:t>
            </w:r>
            <w:proofErr w:type="gramStart"/>
            <w:r w:rsidRPr="00654787">
              <w:rPr>
                <w:sz w:val="22"/>
                <w:szCs w:val="22"/>
              </w:rPr>
              <w:t>ч</w:t>
            </w:r>
            <w:proofErr w:type="spellEnd"/>
            <w:proofErr w:type="gramEnd"/>
            <w:r w:rsidRPr="00654787">
              <w:rPr>
                <w:sz w:val="22"/>
                <w:szCs w:val="22"/>
              </w:rPr>
              <w:t xml:space="preserve"> / чел. </w:t>
            </w:r>
          </w:p>
          <w:p w:rsidR="00AC0DE8" w:rsidRPr="00654787" w:rsidRDefault="00AC0DE8" w:rsidP="00C459CF">
            <w:pPr>
              <w:suppressAutoHyphens/>
              <w:autoSpaceDE w:val="0"/>
              <w:autoSpaceDN w:val="0"/>
              <w:adjustRightInd w:val="0"/>
              <w:jc w:val="center"/>
              <w:rPr>
                <w:sz w:val="22"/>
                <w:szCs w:val="22"/>
              </w:rPr>
            </w:pPr>
            <w:r w:rsidRPr="00654787">
              <w:rPr>
                <w:sz w:val="22"/>
                <w:szCs w:val="22"/>
              </w:rPr>
              <w:t>в год</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кВт/чел</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квартир жилых зданий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индивидуальных жилых домов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расчетные показатели нормируемой удельной характеристики расхода </w:t>
            </w:r>
            <w:bookmarkStart w:id="0" w:name="закладка"/>
            <w:bookmarkEnd w:id="0"/>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rPr>
                <w:sz w:val="22"/>
                <w:szCs w:val="22"/>
              </w:rPr>
            </w:pPr>
            <w:proofErr w:type="gramStart"/>
            <w:r w:rsidRPr="00654787">
              <w:rPr>
                <w:sz w:val="22"/>
                <w:szCs w:val="22"/>
              </w:rPr>
              <w:t>Вт</w:t>
            </w:r>
            <w:proofErr w:type="gramEnd"/>
            <w:r w:rsidRPr="00654787">
              <w:rPr>
                <w:sz w:val="22"/>
                <w:szCs w:val="22"/>
              </w:rPr>
              <w:t xml:space="preserve">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м</w:t>
            </w:r>
            <w:r w:rsidRPr="00654787">
              <w:rPr>
                <w:sz w:val="22"/>
                <w:szCs w:val="22"/>
                <w:vertAlign w:val="superscript"/>
              </w:rPr>
              <w:t xml:space="preserve">3 </w:t>
            </w:r>
            <w:r w:rsidRPr="00654787">
              <w:rPr>
                <w:sz w:val="22"/>
                <w:szCs w:val="22"/>
              </w:rPr>
              <w:t xml:space="preserve">/ год </w:t>
            </w:r>
            <w:proofErr w:type="gramStart"/>
            <w:r w:rsidRPr="00654787">
              <w:rPr>
                <w:sz w:val="22"/>
                <w:szCs w:val="22"/>
              </w:rPr>
              <w:t>на</w:t>
            </w:r>
            <w:proofErr w:type="gramEnd"/>
            <w:r w:rsidRPr="00654787">
              <w:rPr>
                <w:sz w:val="22"/>
                <w:szCs w:val="22"/>
              </w:rPr>
              <w:t xml:space="preserve"> </w:t>
            </w:r>
          </w:p>
          <w:p w:rsidR="00AC0DE8" w:rsidRPr="00654787" w:rsidRDefault="00AC0DE8" w:rsidP="00C459CF">
            <w:pPr>
              <w:suppressAutoHyphens/>
              <w:autoSpaceDE w:val="0"/>
              <w:autoSpaceDN w:val="0"/>
              <w:adjustRightInd w:val="0"/>
              <w:ind w:left="-57" w:right="-57"/>
              <w:jc w:val="center"/>
              <w:rPr>
                <w:spacing w:val="-2"/>
                <w:sz w:val="22"/>
                <w:szCs w:val="2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Расстояния в свету от отдельно </w:t>
            </w:r>
            <w:proofErr w:type="gramStart"/>
            <w:r w:rsidRPr="00654787">
              <w:rPr>
                <w:sz w:val="22"/>
                <w:szCs w:val="22"/>
              </w:rPr>
              <w:t>стоящих</w:t>
            </w:r>
            <w:proofErr w:type="gramEnd"/>
            <w:r w:rsidRPr="00654787">
              <w:rPr>
                <w:sz w:val="22"/>
                <w:szCs w:val="22"/>
              </w:rPr>
              <w:t xml:space="preserve">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sz w:val="22"/>
                <w:szCs w:val="22"/>
              </w:rPr>
            </w:pPr>
            <w:r w:rsidRPr="00654787">
              <w:rPr>
                <w:bCs/>
                <w:sz w:val="22"/>
                <w:szCs w:val="22"/>
              </w:rPr>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sz w:val="22"/>
                <w:szCs w:val="22"/>
              </w:rPr>
              <w:lastRenderedPageBreak/>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Границы </w:t>
            </w:r>
            <w:proofErr w:type="gramStart"/>
            <w:r w:rsidRPr="00654787">
              <w:rPr>
                <w:sz w:val="22"/>
                <w:szCs w:val="22"/>
              </w:rPr>
              <w:t>зон поясов санитарной охраны источников водоснабжения</w:t>
            </w:r>
            <w:proofErr w:type="gramEnd"/>
            <w:r w:rsidRPr="00654787">
              <w:rPr>
                <w:sz w:val="22"/>
                <w:szCs w:val="22"/>
              </w:rPr>
              <w:t xml:space="preserve">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л</w:t>
            </w:r>
            <w:proofErr w:type="gramEnd"/>
            <w:r w:rsidRPr="00654787">
              <w:rPr>
                <w:bCs/>
                <w:sz w:val="22"/>
                <w:szCs w:val="22"/>
              </w:rPr>
              <w:t xml:space="preserve"> / </w:t>
            </w:r>
            <w:proofErr w:type="spellStart"/>
            <w:r w:rsidRPr="00654787">
              <w:rPr>
                <w:bCs/>
                <w:sz w:val="22"/>
                <w:szCs w:val="22"/>
              </w:rPr>
              <w:t>сут</w:t>
            </w:r>
            <w:proofErr w:type="spellEnd"/>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участков для размещения сооружений систем канализации и расстояние от них </w:t>
            </w:r>
            <w:proofErr w:type="gramStart"/>
            <w:r w:rsidRPr="00654787">
              <w:rPr>
                <w:sz w:val="22"/>
                <w:szCs w:val="22"/>
              </w:rPr>
              <w:t>до</w:t>
            </w:r>
            <w:proofErr w:type="gramEnd"/>
            <w:r w:rsidRPr="00654787">
              <w:rPr>
                <w:sz w:val="22"/>
                <w:szCs w:val="22"/>
              </w:rPr>
              <w:t xml:space="preserve">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sz w:val="22"/>
                <w:szCs w:val="22"/>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санитарно-защитных зон снеготаялок и </w:t>
            </w:r>
            <w:proofErr w:type="spellStart"/>
            <w:r w:rsidRPr="00654787">
              <w:rPr>
                <w:sz w:val="22"/>
                <w:szCs w:val="22"/>
              </w:rPr>
              <w:t>снегоплавильных</w:t>
            </w:r>
            <w:proofErr w:type="spellEnd"/>
            <w:r w:rsidRPr="00654787">
              <w:rPr>
                <w:sz w:val="22"/>
                <w:szCs w:val="22"/>
              </w:rPr>
              <w:t xml:space="preserve">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136"/>
              <w:rPr>
                <w:sz w:val="22"/>
                <w:szCs w:val="22"/>
              </w:rPr>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r w:rsidRPr="00654787">
              <w:rPr>
                <w:sz w:val="22"/>
                <w:szCs w:val="22"/>
                <w:vertAlign w:val="superscript"/>
              </w:rPr>
              <w:t>3</w:t>
            </w:r>
            <w:r w:rsidRPr="00654787">
              <w:rPr>
                <w:sz w:val="22"/>
                <w:szCs w:val="22"/>
              </w:rPr>
              <w:t>/</w:t>
            </w:r>
            <w:proofErr w:type="spellStart"/>
            <w:r w:rsidRPr="00654787">
              <w:rPr>
                <w:sz w:val="22"/>
                <w:szCs w:val="22"/>
              </w:rPr>
              <w:t>сут</w:t>
            </w:r>
            <w:proofErr w:type="spellEnd"/>
            <w:r w:rsidRPr="00654787">
              <w:rPr>
                <w:sz w:val="22"/>
                <w:szCs w:val="22"/>
              </w:rPr>
              <w:t xml:space="preserve">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охранных зон линий и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z w:val="22"/>
                <w:szCs w:val="22"/>
              </w:rPr>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единиц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 / 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sz w:val="22"/>
                <w:szCs w:val="22"/>
              </w:rPr>
            </w:pPr>
            <w:r w:rsidRPr="00654787">
              <w:rPr>
                <w:bCs/>
                <w:spacing w:val="-2"/>
                <w:sz w:val="22"/>
                <w:szCs w:val="22"/>
              </w:rPr>
              <w:lastRenderedPageBreak/>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rPr>
                <w:sz w:val="22"/>
                <w:szCs w:val="22"/>
              </w:rPr>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w:t>
            </w:r>
            <w:proofErr w:type="spellStart"/>
            <w:r w:rsidRPr="00654787">
              <w:rPr>
                <w:sz w:val="22"/>
                <w:szCs w:val="22"/>
              </w:rPr>
              <w:t>отстойно</w:t>
            </w:r>
            <w:proofErr w:type="spellEnd"/>
            <w:r w:rsidRPr="00654787">
              <w:rPr>
                <w:sz w:val="22"/>
                <w:szCs w:val="22"/>
              </w:rPr>
              <w:t>-разворотных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 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w:t>
            </w:r>
            <w:r w:rsidRPr="00654787">
              <w:rPr>
                <w:sz w:val="22"/>
                <w:szCs w:val="22"/>
              </w:rPr>
              <w:lastRenderedPageBreak/>
              <w:t>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Pr="00654787">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bCs/>
                <w:sz w:val="22"/>
                <w:szCs w:val="22"/>
              </w:rPr>
              <w:t>машино</w:t>
            </w:r>
            <w:proofErr w:type="spellEnd"/>
            <w:r w:rsidRPr="00654787">
              <w:rPr>
                <w:bCs/>
                <w:sz w:val="22"/>
                <w:szCs w:val="22"/>
              </w:rPr>
              <w:t>-мест/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w:t>
            </w: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необходимой для временного хранения легковых автомобилей, </w:t>
            </w:r>
            <w:r w:rsidRPr="00654787">
              <w:rPr>
                <w:sz w:val="22"/>
                <w:szCs w:val="22"/>
              </w:rPr>
              <w:lastRenderedPageBreak/>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 </w:t>
            </w:r>
            <w:proofErr w:type="spellStart"/>
            <w:r w:rsidRPr="00654787">
              <w:rPr>
                <w:sz w:val="22"/>
                <w:szCs w:val="22"/>
              </w:rPr>
              <w:t>машино</w:t>
            </w:r>
            <w:proofErr w:type="spellEnd"/>
            <w:r w:rsidRPr="00654787">
              <w:rPr>
                <w:sz w:val="22"/>
                <w:szCs w:val="22"/>
              </w:rPr>
              <w:t xml:space="preserve">-место, </w:t>
            </w:r>
          </w:p>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xml:space="preserve">, </w:t>
            </w:r>
          </w:p>
          <w:p w:rsidR="00AC0DE8" w:rsidRPr="00654787" w:rsidRDefault="00AC0DE8" w:rsidP="00C459CF">
            <w:pPr>
              <w:autoSpaceDE w:val="0"/>
              <w:autoSpaceDN w:val="0"/>
              <w:adjustRightInd w:val="0"/>
              <w:jc w:val="center"/>
              <w:rPr>
                <w:sz w:val="22"/>
                <w:szCs w:val="22"/>
                <w:vertAlign w:val="superscript"/>
              </w:rPr>
            </w:pPr>
            <w:proofErr w:type="gramStart"/>
            <w:r w:rsidRPr="00654787">
              <w:rPr>
                <w:sz w:val="22"/>
                <w:szCs w:val="22"/>
              </w:rPr>
              <w:t>га</w:t>
            </w:r>
            <w:proofErr w:type="gramEnd"/>
            <w:r w:rsidRPr="00654787">
              <w:rPr>
                <w:sz w:val="22"/>
                <w:szCs w:val="22"/>
              </w:rPr>
              <w:t xml:space="preserve">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sz w:val="22"/>
                <w:szCs w:val="22"/>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lastRenderedPageBreak/>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xml:space="preserve">- вместимость и размещение </w:t>
            </w:r>
            <w:proofErr w:type="spellStart"/>
            <w:r w:rsidRPr="00654787">
              <w:rPr>
                <w:sz w:val="22"/>
                <w:szCs w:val="22"/>
              </w:rPr>
              <w:t>приобъектных</w:t>
            </w:r>
            <w:proofErr w:type="spellEnd"/>
            <w:r w:rsidRPr="00654787">
              <w:rPr>
                <w:sz w:val="22"/>
                <w:szCs w:val="22"/>
              </w:rPr>
              <w:t xml:space="preserve">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rPr>
                <w:sz w:val="22"/>
                <w:szCs w:val="22"/>
              </w:rPr>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b/>
                <w:bCs/>
                <w:sz w:val="22"/>
                <w:szCs w:val="22"/>
              </w:rPr>
              <w:t xml:space="preserve"> </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w:t>
            </w:r>
            <w:r w:rsidRPr="00654787">
              <w:rPr>
                <w:bCs/>
                <w:sz w:val="22"/>
                <w:szCs w:val="22"/>
              </w:rPr>
              <w:lastRenderedPageBreak/>
              <w:t xml:space="preserve">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lastRenderedPageBreak/>
              <w:t>мест / 1000 чел.</w:t>
            </w:r>
          </w:p>
        </w:tc>
        <w:tc>
          <w:tcPr>
            <w:tcW w:w="236" w:type="dxa"/>
            <w:vAlign w:val="center"/>
          </w:tcPr>
          <w:p w:rsidR="00AC0DE8" w:rsidRPr="00654787" w:rsidRDefault="00AC0DE8" w:rsidP="00C459CF">
            <w:pPr>
              <w:jc w:val="center"/>
              <w:rPr>
                <w:sz w:val="22"/>
                <w:szCs w:val="22"/>
              </w:rPr>
            </w:pPr>
          </w:p>
        </w:tc>
        <w:tc>
          <w:tcPr>
            <w:tcW w:w="276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bCs/>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sz w:val="22"/>
                <w:szCs w:val="22"/>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right="-57"/>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w:t>
            </w:r>
            <w:proofErr w:type="spellStart"/>
            <w:r w:rsidRPr="00654787">
              <w:rPr>
                <w:sz w:val="22"/>
                <w:szCs w:val="22"/>
              </w:rPr>
              <w:t>оздоро</w:t>
            </w:r>
            <w:proofErr w:type="spellEnd"/>
            <w:r w:rsidRPr="00654787">
              <w:rPr>
                <w:sz w:val="22"/>
                <w:szCs w:val="22"/>
              </w:rPr>
              <w:t>-</w:t>
            </w:r>
            <w:proofErr w:type="spellStart"/>
            <w:r w:rsidRPr="00654787">
              <w:rPr>
                <w:sz w:val="22"/>
                <w:szCs w:val="22"/>
              </w:rPr>
              <w:t>вительными</w:t>
            </w:r>
            <w:proofErr w:type="spellEnd"/>
            <w:r w:rsidRPr="00654787">
              <w:rPr>
                <w:sz w:val="22"/>
                <w:szCs w:val="22"/>
              </w:rPr>
              <w:t xml:space="preserve">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дошкольных образовательных </w:t>
            </w:r>
            <w:r w:rsidRPr="00654787">
              <w:rPr>
                <w:bCs/>
                <w:sz w:val="22"/>
                <w:szCs w:val="22"/>
              </w:rPr>
              <w:lastRenderedPageBreak/>
              <w:t>организаций</w:t>
            </w:r>
          </w:p>
        </w:tc>
        <w:tc>
          <w:tcPr>
            <w:tcW w:w="1856" w:type="dxa"/>
            <w:vAlign w:val="center"/>
          </w:tcPr>
          <w:p w:rsidR="00AC0DE8" w:rsidRPr="00654787" w:rsidRDefault="00AC0DE8" w:rsidP="00C459CF">
            <w:pPr>
              <w:suppressAutoHyphens/>
              <w:autoSpaceDE w:val="0"/>
              <w:autoSpaceDN w:val="0"/>
              <w:adjustRightInd w:val="0"/>
              <w:jc w:val="center"/>
              <w:rPr>
                <w:b/>
                <w:sz w:val="22"/>
                <w:szCs w:val="22"/>
              </w:rP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амбулаторно-поликлинических </w:t>
            </w:r>
            <w:r w:rsidRPr="00654787">
              <w:rPr>
                <w:sz w:val="22"/>
                <w:szCs w:val="22"/>
              </w:rPr>
              <w:lastRenderedPageBreak/>
              <w:t>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lastRenderedPageBreak/>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 xml:space="preserve">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rPr>
              <w:t xml:space="preserve"> общей площади 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sz w:val="22"/>
                <w:szCs w:val="22"/>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sz w:val="22"/>
                <w:szCs w:val="22"/>
              </w:rPr>
            </w:pPr>
            <w:r w:rsidRPr="00654787">
              <w:rPr>
                <w:spacing w:val="-2"/>
                <w:sz w:val="22"/>
                <w:szCs w:val="22"/>
              </w:rPr>
              <w:t xml:space="preserve">- предельные значения расчетных показателей минимально допустимого </w:t>
            </w:r>
            <w:r w:rsidRPr="00654787">
              <w:rPr>
                <w:spacing w:val="-2"/>
                <w:sz w:val="22"/>
                <w:szCs w:val="22"/>
              </w:rPr>
              <w:lastRenderedPageBreak/>
              <w:t>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объект / </w:t>
            </w:r>
            <w:r w:rsidRPr="00654787">
              <w:rPr>
                <w:bCs/>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sz w:val="22"/>
                <w:szCs w:val="22"/>
              </w:rPr>
            </w:pPr>
            <w:r w:rsidRPr="00654787">
              <w:rPr>
                <w:bCs/>
                <w:sz w:val="22"/>
                <w:szCs w:val="22"/>
              </w:rPr>
              <w:t xml:space="preserve">объект / </w:t>
            </w:r>
          </w:p>
          <w:p w:rsidR="00AC0DE8" w:rsidRPr="00654787" w:rsidRDefault="00AC0DE8" w:rsidP="00C459CF">
            <w:pPr>
              <w:suppressAutoHyphens/>
              <w:ind w:left="-113" w:right="-113"/>
              <w:jc w:val="center"/>
              <w:rPr>
                <w:bCs/>
                <w:sz w:val="22"/>
                <w:szCs w:val="22"/>
              </w:rPr>
            </w:pPr>
            <w:r w:rsidRPr="00654787">
              <w:rPr>
                <w:bCs/>
                <w:sz w:val="22"/>
                <w:szCs w:val="22"/>
              </w:rPr>
              <w:t xml:space="preserve">100 тыс. чел.,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м</w:t>
            </w:r>
            <w:proofErr w:type="gramEnd"/>
            <w:r w:rsidRPr="00654787">
              <w:rPr>
                <w:bCs/>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точка доступа / квартиру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rPr>
                <w:sz w:val="22"/>
                <w:szCs w:val="22"/>
              </w:rP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w:t>
            </w:r>
            <w:r w:rsidRPr="00654787">
              <w:rPr>
                <w:b/>
                <w:bCs/>
                <w:sz w:val="22"/>
                <w:szCs w:val="22"/>
              </w:rPr>
              <w:t xml:space="preserve"> </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xml:space="preserve">- предельные значения расчетных показателей минимально допустимого уровня обеспеченности </w:t>
            </w:r>
            <w:proofErr w:type="gramStart"/>
            <w:r w:rsidRPr="00654787">
              <w:rPr>
                <w:sz w:val="22"/>
                <w:szCs w:val="22"/>
              </w:rPr>
              <w:t>блок-станциями</w:t>
            </w:r>
            <w:proofErr w:type="gramEnd"/>
            <w:r w:rsidRPr="00654787">
              <w:rPr>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sz w:val="22"/>
                <w:szCs w:val="22"/>
              </w:rPr>
            </w:pPr>
            <w:r w:rsidRPr="00654787">
              <w:rPr>
                <w:spacing w:val="-2"/>
                <w:sz w:val="22"/>
                <w:szCs w:val="22"/>
              </w:rPr>
              <w:t xml:space="preserve">- предельные значения расчетных показателей максимально допустимого уровня территориальной доступности </w:t>
            </w:r>
            <w:proofErr w:type="gramStart"/>
            <w:r w:rsidRPr="00654787">
              <w:rPr>
                <w:spacing w:val="-2"/>
                <w:sz w:val="22"/>
                <w:szCs w:val="22"/>
              </w:rPr>
              <w:t>блок-станций</w:t>
            </w:r>
            <w:proofErr w:type="gramEnd"/>
            <w:r w:rsidRPr="00654787">
              <w:rPr>
                <w:spacing w:val="-2"/>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bCs/>
                <w:sz w:val="22"/>
                <w:szCs w:val="22"/>
              </w:rPr>
              <w:t xml:space="preserve"> </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lastRenderedPageBreak/>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рыночными комплексами</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рыночных комплексов</w:t>
            </w:r>
            <w:r w:rsidRPr="00654787">
              <w:rPr>
                <w:sz w:val="22"/>
                <w:szCs w:val="22"/>
              </w:rPr>
              <w:t xml:space="preserve"> </w:t>
            </w:r>
            <w:r w:rsidRPr="00654787">
              <w:rPr>
                <w:bCs/>
                <w:sz w:val="22"/>
                <w:szCs w:val="22"/>
              </w:rPr>
              <w:t xml:space="preserve">розничной </w:t>
            </w:r>
            <w:r w:rsidRPr="00654787">
              <w:rPr>
                <w:bCs/>
                <w:sz w:val="22"/>
                <w:szCs w:val="22"/>
              </w:rPr>
              <w:lastRenderedPageBreak/>
              <w:t>торговли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spacing w:val="-2"/>
                <w:sz w:val="22"/>
                <w:szCs w:val="22"/>
              </w:rPr>
              <w:lastRenderedPageBreak/>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банно-оздоровительными комплексами, </w:t>
            </w:r>
            <w:r w:rsidRPr="00654787">
              <w:rPr>
                <w:sz w:val="22"/>
                <w:szCs w:val="22"/>
              </w:rPr>
              <w:lastRenderedPageBreak/>
              <w:t>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кладбище </w:t>
            </w:r>
            <w:proofErr w:type="spellStart"/>
            <w:r w:rsidRPr="00654787">
              <w:rPr>
                <w:sz w:val="22"/>
                <w:szCs w:val="22"/>
              </w:rPr>
              <w:t>урновых</w:t>
            </w:r>
            <w:proofErr w:type="spellEnd"/>
            <w:r w:rsidRPr="00654787">
              <w:rPr>
                <w:sz w:val="22"/>
                <w:szCs w:val="22"/>
              </w:rPr>
              <w:t xml:space="preserve">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предельные значения расчетных показателей</w:t>
            </w:r>
            <w:r w:rsidRPr="00654787">
              <w:rPr>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D8244C">
            <w:pPr>
              <w:suppressAutoHyphens/>
              <w:autoSpaceDE w:val="0"/>
              <w:autoSpaceDN w:val="0"/>
              <w:adjustRightInd w:val="0"/>
              <w:rPr>
                <w:sz w:val="22"/>
                <w:szCs w:val="22"/>
              </w:rPr>
            </w:pPr>
            <w:r w:rsidRPr="00654787">
              <w:rPr>
                <w:b/>
                <w:i/>
                <w:spacing w:val="-2"/>
                <w:sz w:val="22"/>
                <w:szCs w:val="22"/>
              </w:rPr>
              <w:t>Объекты утилизации и переработки отходов:</w:t>
            </w:r>
          </w:p>
        </w:tc>
      </w:tr>
      <w:tr w:rsidR="00AC0DE8" w:rsidRPr="00654787" w:rsidTr="00C459CF">
        <w:trPr>
          <w:jc w:val="center"/>
        </w:trPr>
        <w:tc>
          <w:tcPr>
            <w:tcW w:w="7293" w:type="dxa"/>
          </w:tcPr>
          <w:p w:rsidR="00AC0DE8" w:rsidRPr="00654787" w:rsidRDefault="00AC0DE8" w:rsidP="00D8244C">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D8244C">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объект / городской округ, </w:t>
            </w:r>
            <w:r w:rsidRPr="00654787">
              <w:rPr>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D8244C">
            <w:pPr>
              <w:widowControl w:val="0"/>
              <w:suppressAutoHyphens/>
              <w:ind w:left="284" w:hanging="142"/>
              <w:rPr>
                <w:bCs/>
                <w:sz w:val="22"/>
                <w:szCs w:val="22"/>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D8244C">
            <w:pPr>
              <w:widowControl w:val="0"/>
              <w:suppressAutoHyphens/>
              <w:rPr>
                <w:bCs/>
                <w:sz w:val="22"/>
                <w:szCs w:val="22"/>
              </w:rPr>
            </w:pPr>
            <w:r w:rsidRPr="00654787">
              <w:rPr>
                <w:bCs/>
                <w:sz w:val="22"/>
                <w:szCs w:val="22"/>
              </w:rPr>
              <w:t>Расчетное количество накапливающихся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D8244C">
            <w:pPr>
              <w:widowControl w:val="0"/>
              <w:ind w:right="-57"/>
              <w:rPr>
                <w:bCs/>
                <w:spacing w:val="-2"/>
                <w:sz w:val="22"/>
                <w:szCs w:val="22"/>
              </w:rPr>
            </w:pPr>
            <w:r w:rsidRPr="00654787">
              <w:rPr>
                <w:bCs/>
                <w:spacing w:val="-2"/>
                <w:sz w:val="22"/>
                <w:szCs w:val="22"/>
              </w:rPr>
              <w:t>Расчетные показатели градостроительного проектирования объектов утилизации и переработки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D8244C">
            <w:pPr>
              <w:ind w:left="284" w:hanging="142"/>
              <w:rPr>
                <w:sz w:val="22"/>
                <w:szCs w:val="22"/>
              </w:rPr>
            </w:pPr>
            <w:r w:rsidRPr="00654787">
              <w:rPr>
                <w:sz w:val="22"/>
                <w:szCs w:val="22"/>
              </w:rPr>
              <w:t>- размеры земельных участков полигонов твердых отходов, участков компостирования твердых отходов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D8244C">
            <w:pPr>
              <w:ind w:left="284" w:hanging="142"/>
              <w:rPr>
                <w:sz w:val="22"/>
                <w:szCs w:val="22"/>
              </w:rPr>
            </w:pPr>
            <w:r w:rsidRPr="00654787">
              <w:rPr>
                <w:sz w:val="22"/>
                <w:szCs w:val="22"/>
              </w:rPr>
              <w:t xml:space="preserve">- размеры санитарно-защитных зон полигонов твердых отходов, участки компостирования твердых </w:t>
            </w:r>
            <w:bookmarkStart w:id="1" w:name="_GoBack"/>
            <w:bookmarkEnd w:id="1"/>
            <w:r w:rsidRPr="00654787">
              <w:rPr>
                <w:sz w:val="22"/>
                <w:szCs w:val="22"/>
              </w:rPr>
              <w:t>отходов</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w:t>
            </w:r>
            <w:r w:rsidRPr="00654787">
              <w:rPr>
                <w:bCs/>
                <w:sz w:val="22"/>
                <w:szCs w:val="22"/>
              </w:rPr>
              <w:lastRenderedPageBreak/>
              <w:t xml:space="preserve">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территории жилого района</w:t>
            </w:r>
            <w:r w:rsidRPr="00654787">
              <w:rPr>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удельные показатели размера земельного участка на 1 чел. при проектировании жилых зданий,</w:t>
            </w:r>
            <w:r w:rsidRPr="00654787">
              <w:rPr>
                <w:b/>
                <w:bCs/>
                <w:sz w:val="22"/>
                <w:szCs w:val="22"/>
              </w:rPr>
              <w:t xml:space="preserve"> </w:t>
            </w:r>
            <w:r w:rsidRPr="00654787">
              <w:rPr>
                <w:bCs/>
                <w:sz w:val="22"/>
                <w:szCs w:val="22"/>
              </w:rPr>
              <w:t>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proofErr w:type="gramStart"/>
              <w:r w:rsidRPr="00654787">
                <w:rPr>
                  <w:bCs/>
                  <w:sz w:val="22"/>
                  <w:szCs w:val="22"/>
                  <w:vertAlign w:val="superscript"/>
                </w:rPr>
                <w:t>2</w:t>
              </w:r>
            </w:smartTag>
            <w:proofErr w:type="gramEnd"/>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Обеспеченность площадками дворового благоустройства</w:t>
            </w:r>
            <w:r w:rsidRPr="00654787">
              <w:t xml:space="preserve"> </w:t>
            </w:r>
            <w:r w:rsidRPr="00654787">
              <w:rPr>
                <w:bCs/>
                <w:sz w:val="22"/>
                <w:szCs w:val="22"/>
              </w:rPr>
              <w:t>(состав,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ind w:left="284" w:hanging="142"/>
              <w:rPr>
                <w:sz w:val="22"/>
                <w:szCs w:val="22"/>
              </w:rPr>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уровень </w:t>
            </w:r>
            <w:proofErr w:type="spellStart"/>
            <w:r w:rsidRPr="00654787">
              <w:rPr>
                <w:bCs/>
                <w:sz w:val="22"/>
                <w:szCs w:val="22"/>
              </w:rPr>
              <w:t>озелененности</w:t>
            </w:r>
            <w:proofErr w:type="spellEnd"/>
            <w:r w:rsidRPr="00654787">
              <w:rPr>
                <w:bCs/>
                <w:sz w:val="22"/>
                <w:szCs w:val="22"/>
              </w:rPr>
              <w:t xml:space="preserve"> территории в границах жилого района</w:t>
            </w:r>
          </w:p>
        </w:tc>
        <w:tc>
          <w:tcPr>
            <w:tcW w:w="1856" w:type="dxa"/>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sz w:val="22"/>
                <w:szCs w:val="22"/>
              </w:rPr>
            </w:pPr>
            <w:r w:rsidRPr="00654787">
              <w:rPr>
                <w:bCs/>
                <w:sz w:val="22"/>
                <w:szCs w:val="22"/>
              </w:rPr>
              <w:t xml:space="preserve">- обеспеченность местами хранения (постоянного и временного) </w:t>
            </w:r>
            <w:r w:rsidRPr="00654787">
              <w:rPr>
                <w:bCs/>
                <w:sz w:val="22"/>
                <w:szCs w:val="22"/>
              </w:rPr>
              <w:lastRenderedPageBreak/>
              <w:t>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по подразделу </w:t>
            </w:r>
            <w:r w:rsidRPr="00654787">
              <w:rPr>
                <w:bCs/>
                <w:sz w:val="22"/>
                <w:szCs w:val="22"/>
              </w:rPr>
              <w:lastRenderedPageBreak/>
              <w:t>23.5</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lastRenderedPageBreak/>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bCs/>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rPr>
                <w:sz w:val="22"/>
                <w:szCs w:val="22"/>
              </w:rPr>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rPr>
                <w:sz w:val="22"/>
                <w:szCs w:val="22"/>
              </w:rPr>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предельные размеры земельных участков для индивидуального </w:t>
            </w:r>
            <w:r w:rsidRPr="00654787">
              <w:rPr>
                <w:bCs/>
                <w:sz w:val="22"/>
                <w:szCs w:val="22"/>
              </w:rPr>
              <w:lastRenderedPageBreak/>
              <w:t>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подразделу 24.4</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автостоянок на территории с застройкой жилыми домами с придомовыми (</w:t>
            </w:r>
            <w:proofErr w:type="spellStart"/>
            <w:r w:rsidRPr="00654787">
              <w:rPr>
                <w:sz w:val="22"/>
                <w:szCs w:val="22"/>
              </w:rPr>
              <w:t>приквартирными</w:t>
            </w:r>
            <w:proofErr w:type="spellEnd"/>
            <w:r w:rsidRPr="00654787">
              <w:rPr>
                <w:sz w:val="22"/>
                <w:szCs w:val="22"/>
              </w:rPr>
              <w:t>)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sz w:val="22"/>
                <w:szCs w:val="2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w:t>
            </w:r>
            <w:proofErr w:type="gramStart"/>
            <w:r w:rsidRPr="00654787">
              <w:rPr>
                <w:bCs/>
                <w:spacing w:val="-2"/>
                <w:sz w:val="22"/>
                <w:szCs w:val="22"/>
              </w:rPr>
              <w:t>дств дл</w:t>
            </w:r>
            <w:proofErr w:type="gramEnd"/>
            <w:r w:rsidRPr="00654787">
              <w:rPr>
                <w:bCs/>
                <w:spacing w:val="-2"/>
                <w:sz w:val="22"/>
                <w:szCs w:val="22"/>
              </w:rPr>
              <w:t>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обеспеченность гостевыми </w:t>
            </w:r>
            <w:proofErr w:type="gramStart"/>
            <w:r w:rsidRPr="00654787">
              <w:rPr>
                <w:bCs/>
                <w:sz w:val="22"/>
                <w:szCs w:val="22"/>
              </w:rPr>
              <w:t>авто-стоянками</w:t>
            </w:r>
            <w:proofErr w:type="gramEnd"/>
            <w:r w:rsidRPr="00654787">
              <w:rPr>
                <w:bCs/>
                <w:sz w:val="22"/>
                <w:szCs w:val="22"/>
              </w:rPr>
              <w:t xml:space="preserve">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-места / квартира,</w:t>
            </w:r>
          </w:p>
          <w:p w:rsidR="00AC0DE8" w:rsidRPr="00654787" w:rsidRDefault="00AC0DE8" w:rsidP="00C459CF">
            <w:pPr>
              <w:pStyle w:val="affffffd"/>
              <w:spacing w:line="240" w:lineRule="auto"/>
              <w:ind w:left="-57" w:right="-57" w:firstLine="0"/>
              <w:jc w:val="center"/>
              <w:rPr>
                <w:bCs/>
                <w:spacing w:val="-2"/>
                <w:sz w:val="22"/>
                <w:szCs w:val="22"/>
              </w:rPr>
            </w:pPr>
            <w:proofErr w:type="spellStart"/>
            <w:r w:rsidRPr="00654787">
              <w:rPr>
                <w:bCs/>
                <w:spacing w:val="-2"/>
                <w:sz w:val="22"/>
                <w:szCs w:val="22"/>
              </w:rPr>
              <w:t>машино</w:t>
            </w:r>
            <w:proofErr w:type="spellEnd"/>
            <w:r w:rsidRPr="00654787">
              <w:rPr>
                <w:bCs/>
                <w:spacing w:val="-2"/>
                <w:sz w:val="22"/>
                <w:szCs w:val="22"/>
              </w:rPr>
              <w:t>-места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xml:space="preserve">- обеспеченность </w:t>
            </w:r>
            <w:proofErr w:type="spellStart"/>
            <w:r w:rsidRPr="00654787">
              <w:rPr>
                <w:bCs/>
                <w:sz w:val="22"/>
                <w:szCs w:val="22"/>
              </w:rPr>
              <w:t>приобъектными</w:t>
            </w:r>
            <w:proofErr w:type="spellEnd"/>
            <w:r w:rsidRPr="00654787">
              <w:rPr>
                <w:bCs/>
                <w:sz w:val="22"/>
                <w:szCs w:val="22"/>
              </w:rPr>
              <w:t xml:space="preserve">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общая стоянка транспортных сре</w:t>
            </w:r>
            <w:proofErr w:type="gramStart"/>
            <w:r w:rsidRPr="00654787">
              <w:rPr>
                <w:bCs/>
                <w:sz w:val="22"/>
                <w:szCs w:val="22"/>
              </w:rPr>
              <w:t>дств в пр</w:t>
            </w:r>
            <w:proofErr w:type="gramEnd"/>
            <w:r w:rsidRPr="00654787">
              <w:rPr>
                <w:bCs/>
                <w:sz w:val="22"/>
                <w:szCs w:val="22"/>
              </w:rPr>
              <w:t>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rPr>
                <w:sz w:val="22"/>
                <w:szCs w:val="22"/>
              </w:rPr>
            </w:pPr>
            <w:r w:rsidRPr="00654787">
              <w:rPr>
                <w:sz w:val="22"/>
                <w:szCs w:val="22"/>
              </w:rPr>
              <w:t>Нормируемые расстояния:</w:t>
            </w:r>
          </w:p>
          <w:p w:rsidR="00AC0DE8" w:rsidRPr="00654787" w:rsidRDefault="00AC0DE8" w:rsidP="00C459CF">
            <w:pPr>
              <w:tabs>
                <w:tab w:val="left" w:pos="7740"/>
              </w:tabs>
              <w:ind w:left="284" w:hanging="142"/>
              <w:rPr>
                <w:sz w:val="22"/>
                <w:szCs w:val="22"/>
              </w:rPr>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z w:val="22"/>
                <w:szCs w:val="22"/>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r w:rsidRPr="00654787">
              <w:rPr>
                <w:bCs/>
                <w:sz w:val="22"/>
                <w:szCs w:val="22"/>
              </w:rPr>
              <w:t xml:space="preserve"> </w:t>
            </w:r>
          </w:p>
          <w:p w:rsidR="00AC0DE8" w:rsidRPr="00654787" w:rsidRDefault="00AC0DE8" w:rsidP="00C459CF">
            <w:pPr>
              <w:tabs>
                <w:tab w:val="left" w:pos="7740"/>
              </w:tabs>
              <w:ind w:left="284" w:hanging="6"/>
              <w:rPr>
                <w:sz w:val="22"/>
                <w:szCs w:val="22"/>
              </w:rPr>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rPr>
                <w:sz w:val="22"/>
                <w:szCs w:val="22"/>
              </w:rPr>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sz w:val="22"/>
                <w:szCs w:val="22"/>
              </w:rPr>
            </w:pPr>
            <w:r w:rsidRPr="00654787">
              <w:rPr>
                <w:sz w:val="22"/>
                <w:szCs w:val="22"/>
              </w:rPr>
              <w:t>- от других построек (сарая, бани, гаражи и др.);</w:t>
            </w:r>
            <w:r w:rsidRPr="00654787">
              <w:rPr>
                <w:spacing w:val="-2"/>
                <w:sz w:val="22"/>
                <w:szCs w:val="22"/>
              </w:rPr>
              <w:t xml:space="preserve"> </w:t>
            </w:r>
          </w:p>
          <w:p w:rsidR="00AC0DE8" w:rsidRPr="00654787" w:rsidRDefault="00AC0DE8" w:rsidP="00C459CF">
            <w:pPr>
              <w:tabs>
                <w:tab w:val="left" w:pos="7740"/>
              </w:tabs>
              <w:ind w:left="284" w:hanging="6"/>
              <w:rPr>
                <w:spacing w:val="-2"/>
                <w:sz w:val="22"/>
                <w:szCs w:val="22"/>
              </w:rPr>
            </w:pPr>
            <w:r w:rsidRPr="00654787">
              <w:rPr>
                <w:spacing w:val="-2"/>
                <w:sz w:val="22"/>
                <w:szCs w:val="22"/>
              </w:rPr>
              <w:t>- от мусоросборников;</w:t>
            </w:r>
          </w:p>
          <w:p w:rsidR="00AC0DE8" w:rsidRPr="00654787" w:rsidRDefault="00AC0DE8" w:rsidP="00C459CF">
            <w:pPr>
              <w:tabs>
                <w:tab w:val="left" w:pos="7740"/>
              </w:tabs>
              <w:ind w:left="284" w:hanging="6"/>
              <w:rPr>
                <w:bCs/>
                <w:sz w:val="22"/>
                <w:szCs w:val="22"/>
              </w:rPr>
            </w:pPr>
            <w:r w:rsidRPr="00654787">
              <w:rPr>
                <w:spacing w:val="-2"/>
                <w:sz w:val="22"/>
                <w:szCs w:val="22"/>
              </w:rPr>
              <w:t>- от дворовых туалетов, помойных ям, выгребов, септиков;</w:t>
            </w:r>
            <w:r w:rsidRPr="00654787">
              <w:rPr>
                <w:bCs/>
                <w:sz w:val="22"/>
                <w:szCs w:val="22"/>
              </w:rPr>
              <w:t xml:space="preserve">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sz w:val="22"/>
                <w:szCs w:val="2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планировочная организация территории</w:t>
            </w:r>
            <w:r w:rsidRPr="00654787">
              <w:t xml:space="preserve"> </w:t>
            </w:r>
            <w:r w:rsidRPr="00654787">
              <w:rPr>
                <w:bCs/>
                <w:sz w:val="22"/>
                <w:szCs w:val="22"/>
              </w:rPr>
              <w:t xml:space="preserve">жилой застройки сельских </w:t>
            </w:r>
            <w:r w:rsidRPr="00654787">
              <w:rPr>
                <w:bCs/>
                <w:sz w:val="22"/>
                <w:szCs w:val="22"/>
              </w:rPr>
              <w:lastRenderedPageBreak/>
              <w:t>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lastRenderedPageBreak/>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3"/>
                <w:sz w:val="22"/>
                <w:szCs w:val="22"/>
              </w:rPr>
              <w:t>м</w:t>
            </w:r>
            <w:proofErr w:type="gramStart"/>
            <w:r w:rsidRPr="00654787">
              <w:rPr>
                <w:spacing w:val="-3"/>
                <w:sz w:val="22"/>
                <w:szCs w:val="22"/>
                <w:vertAlign w:val="superscript"/>
              </w:rPr>
              <w:t>2</w:t>
            </w:r>
            <w:proofErr w:type="gramEnd"/>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чел./</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rPr>
                <w:sz w:val="22"/>
                <w:szCs w:val="22"/>
              </w:rPr>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rPr>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rPr>
                <w:sz w:val="22"/>
                <w:szCs w:val="22"/>
              </w:rPr>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rPr>
                <w:sz w:val="22"/>
                <w:szCs w:val="22"/>
              </w:rPr>
            </w:pPr>
            <w:r w:rsidRPr="00654787">
              <w:rPr>
                <w:sz w:val="22"/>
                <w:szCs w:val="22"/>
              </w:rPr>
              <w:t>- обеспеченность местами для хранения</w:t>
            </w:r>
            <w:r w:rsidRPr="00654787">
              <w:rPr>
                <w:bCs/>
                <w:sz w:val="22"/>
                <w:szCs w:val="22"/>
              </w:rPr>
              <w:t xml:space="preserve"> транспортных средств, </w:t>
            </w:r>
            <w:r w:rsidRPr="00654787">
              <w:rPr>
                <w:bCs/>
                <w:sz w:val="22"/>
                <w:szCs w:val="22"/>
              </w:rPr>
              <w:lastRenderedPageBreak/>
              <w:t>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rPr>
                <w:sz w:val="22"/>
                <w:szCs w:val="22"/>
              </w:rPr>
            </w:pPr>
            <w:r w:rsidRPr="00654787">
              <w:rPr>
                <w:sz w:val="22"/>
                <w:szCs w:val="22"/>
              </w:rPr>
              <w:lastRenderedPageBreak/>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xml:space="preserve">- обеспеченность </w:t>
            </w:r>
            <w:proofErr w:type="spellStart"/>
            <w:r w:rsidRPr="00654787">
              <w:rPr>
                <w:sz w:val="22"/>
                <w:szCs w:val="22"/>
              </w:rPr>
              <w:t>приобъектными</w:t>
            </w:r>
            <w:proofErr w:type="spellEnd"/>
            <w:r w:rsidRPr="00654787">
              <w:rPr>
                <w:sz w:val="22"/>
                <w:szCs w:val="22"/>
              </w:rPr>
              <w:t xml:space="preserve">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общая стоянка транспортных сре</w:t>
            </w:r>
            <w:proofErr w:type="gramStart"/>
            <w:r w:rsidRPr="00654787">
              <w:rPr>
                <w:sz w:val="22"/>
                <w:szCs w:val="22"/>
              </w:rPr>
              <w:t>дств в пр</w:t>
            </w:r>
            <w:proofErr w:type="gramEnd"/>
            <w:r w:rsidRPr="00654787">
              <w:rPr>
                <w:sz w:val="22"/>
                <w:szCs w:val="22"/>
              </w:rPr>
              <w:t>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sz w:val="22"/>
                <w:szCs w:val="22"/>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sz w:val="22"/>
                <w:szCs w:val="22"/>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sz w:val="22"/>
                <w:szCs w:val="2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rPr>
                <w:sz w:val="22"/>
                <w:szCs w:val="22"/>
              </w:rPr>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планировочная организация территорий</w:t>
            </w:r>
            <w:r w:rsidRPr="00654787">
              <w:t xml:space="preserve"> </w:t>
            </w:r>
            <w:r w:rsidRPr="00654787">
              <w:rPr>
                <w:sz w:val="22"/>
                <w:szCs w:val="22"/>
              </w:rPr>
              <w:t>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xml:space="preserve">- градостроительные характеристики, нормируемые в целях сохранения традиционной пространственной организации </w:t>
            </w:r>
            <w:proofErr w:type="spellStart"/>
            <w:r w:rsidRPr="00654787">
              <w:rPr>
                <w:bCs/>
                <w:sz w:val="22"/>
                <w:szCs w:val="22"/>
              </w:rPr>
              <w:t>морфотипов</w:t>
            </w:r>
            <w:proofErr w:type="spellEnd"/>
            <w:r w:rsidRPr="00654787">
              <w:rPr>
                <w:bCs/>
                <w:sz w:val="22"/>
                <w:szCs w:val="22"/>
              </w:rPr>
              <w:t xml:space="preserve">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sz w:val="22"/>
                <w:szCs w:val="22"/>
              </w:rPr>
            </w:pPr>
            <w:proofErr w:type="gramStart"/>
            <w:r w:rsidRPr="00654787">
              <w:rPr>
                <w:sz w:val="22"/>
                <w:szCs w:val="22"/>
              </w:rPr>
              <w:t>кг</w:t>
            </w:r>
            <w:proofErr w:type="gramEnd"/>
            <w:r w:rsidRPr="00654787">
              <w:rPr>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rPr>
                <w:sz w:val="22"/>
                <w:szCs w:val="22"/>
              </w:rP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sz w:val="22"/>
                <w:szCs w:val="22"/>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rPr>
                <w:sz w:val="22"/>
                <w:szCs w:val="22"/>
              </w:rPr>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rPr>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 xml:space="preserve">процент </w:t>
            </w:r>
            <w:proofErr w:type="spellStart"/>
            <w:r w:rsidRPr="00654787">
              <w:rPr>
                <w:bCs/>
                <w:sz w:val="22"/>
                <w:szCs w:val="22"/>
              </w:rPr>
              <w:t>застроенности</w:t>
            </w:r>
            <w:proofErr w:type="spell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численности </w:t>
            </w:r>
            <w:proofErr w:type="gramStart"/>
            <w:r w:rsidRPr="00654787">
              <w:rPr>
                <w:sz w:val="22"/>
                <w:szCs w:val="22"/>
              </w:rPr>
              <w:t>работающих</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авт.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rPr>
                <w:sz w:val="22"/>
                <w:szCs w:val="22"/>
              </w:rPr>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тыс. м</w:t>
            </w:r>
            <w:r w:rsidRPr="00654787">
              <w:rPr>
                <w:sz w:val="22"/>
                <w:szCs w:val="22"/>
                <w:vertAlign w:val="superscript"/>
              </w:rPr>
              <w:t>3</w:t>
            </w:r>
            <w:r w:rsidRPr="00654787">
              <w:rPr>
                <w:sz w:val="22"/>
                <w:szCs w:val="22"/>
              </w:rPr>
              <w:t xml:space="preserve">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sz w:val="22"/>
                <w:szCs w:val="22"/>
              </w:rPr>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rPr>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rPr>
                <w:sz w:val="22"/>
                <w:szCs w:val="22"/>
              </w:rP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противопожарные расстояния </w:t>
            </w:r>
          </w:p>
        </w:tc>
        <w:tc>
          <w:tcPr>
            <w:tcW w:w="1856" w:type="dxa"/>
          </w:tcPr>
          <w:p w:rsidR="00AC0DE8" w:rsidRPr="00654787" w:rsidRDefault="00AC0DE8" w:rsidP="00C459CF">
            <w:pPr>
              <w:jc w:val="center"/>
              <w:rPr>
                <w:sz w:val="22"/>
                <w:szCs w:val="22"/>
              </w:rPr>
            </w:pPr>
            <w:r w:rsidRPr="00654787">
              <w:rPr>
                <w:sz w:val="22"/>
                <w:szCs w:val="22"/>
              </w:rPr>
              <w:t xml:space="preserve">по </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rPr>
                <w:sz w:val="22"/>
                <w:szCs w:val="22"/>
              </w:rPr>
            </w:pPr>
            <w:r w:rsidRPr="00654787">
              <w:rPr>
                <w:sz w:val="22"/>
                <w:szCs w:val="22"/>
              </w:rPr>
              <w:t xml:space="preserve">В соответствии с </w:t>
            </w:r>
            <w:r w:rsidRPr="00654787">
              <w:rPr>
                <w:sz w:val="22"/>
                <w:szCs w:val="22"/>
              </w:rPr>
              <w:lastRenderedPageBreak/>
              <w:t xml:space="preserve">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rPr>
                <w:sz w:val="22"/>
                <w:szCs w:val="22"/>
              </w:rPr>
            </w:pPr>
            <w:r w:rsidRPr="00654787">
              <w:rPr>
                <w:sz w:val="22"/>
                <w:szCs w:val="22"/>
              </w:rPr>
              <w:t xml:space="preserve">- от ТЭЦ или </w:t>
            </w:r>
            <w:proofErr w:type="spellStart"/>
            <w:r w:rsidRPr="00654787">
              <w:rPr>
                <w:sz w:val="22"/>
                <w:szCs w:val="22"/>
              </w:rPr>
              <w:t>тепломагистрали</w:t>
            </w:r>
            <w:proofErr w:type="spellEnd"/>
            <w:r w:rsidRPr="00654787">
              <w:rPr>
                <w:sz w:val="22"/>
                <w:szCs w:val="22"/>
              </w:rPr>
              <w:t xml:space="preserve">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rPr>
                <w:sz w:val="22"/>
                <w:szCs w:val="22"/>
              </w:rPr>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w:t>
            </w:r>
            <w:proofErr w:type="spellStart"/>
            <w:r w:rsidRPr="00654787">
              <w:rPr>
                <w:bCs/>
                <w:sz w:val="22"/>
                <w:szCs w:val="22"/>
              </w:rPr>
              <w:t>внутриобъектные</w:t>
            </w:r>
            <w:proofErr w:type="spellEnd"/>
            <w:r w:rsidRPr="00654787">
              <w:rPr>
                <w:bCs/>
                <w:sz w:val="22"/>
                <w:szCs w:val="22"/>
              </w:rPr>
              <w:t xml:space="preserve">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sz w:val="22"/>
                <w:szCs w:val="22"/>
              </w:rPr>
            </w:pPr>
            <w:r w:rsidRPr="00654787">
              <w:rPr>
                <w:bCs/>
                <w:spacing w:val="-2"/>
                <w:sz w:val="22"/>
                <w:szCs w:val="22"/>
              </w:rPr>
              <w:t>по СП 18.13330.2011,</w:t>
            </w:r>
          </w:p>
          <w:p w:rsidR="00AC0DE8" w:rsidRPr="00654787" w:rsidRDefault="00AC0DE8" w:rsidP="00C459CF">
            <w:pPr>
              <w:ind w:left="-57" w:right="-57"/>
              <w:jc w:val="center"/>
              <w:rPr>
                <w:sz w:val="22"/>
                <w:szCs w:val="22"/>
              </w:rP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проходных пунктов</w:t>
            </w:r>
          </w:p>
        </w:tc>
        <w:tc>
          <w:tcPr>
            <w:tcW w:w="1856" w:type="dxa"/>
          </w:tcPr>
          <w:p w:rsidR="00AC0DE8" w:rsidRPr="00654787" w:rsidRDefault="00AC0DE8" w:rsidP="00C459CF">
            <w:pPr>
              <w:jc w:val="center"/>
              <w:rPr>
                <w:sz w:val="22"/>
                <w:szCs w:val="22"/>
              </w:rP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коэффициент застройки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sz w:val="22"/>
                <w:szCs w:val="22"/>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proofErr w:type="gramStart"/>
              <w:r w:rsidRPr="00654787">
                <w:rPr>
                  <w:bCs/>
                  <w:sz w:val="22"/>
                  <w:szCs w:val="22"/>
                  <w:vertAlign w:val="superscript"/>
                </w:rPr>
                <w:t>2</w:t>
              </w:r>
            </w:smartTag>
            <w:proofErr w:type="gramEnd"/>
            <w:r w:rsidRPr="00654787">
              <w:rPr>
                <w:bCs/>
                <w:sz w:val="22"/>
                <w:szCs w:val="22"/>
              </w:rPr>
              <w:t xml:space="preserve"> </w:t>
            </w:r>
          </w:p>
          <w:p w:rsidR="00AC0DE8" w:rsidRPr="00654787" w:rsidRDefault="00AC0DE8" w:rsidP="00C459CF">
            <w:pPr>
              <w:ind w:left="142" w:hanging="142"/>
              <w:jc w:val="center"/>
              <w:rPr>
                <w:bCs/>
                <w:sz w:val="22"/>
                <w:szCs w:val="22"/>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общая площадь озеленения</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по</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sz w:val="22"/>
                <w:szCs w:val="22"/>
              </w:rPr>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размеры земельных участков коммунально-складских зон для </w:t>
            </w:r>
            <w:r w:rsidRPr="00654787">
              <w:rPr>
                <w:bCs/>
                <w:sz w:val="22"/>
                <w:szCs w:val="22"/>
              </w:rPr>
              <w:lastRenderedPageBreak/>
              <w:t>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rPr>
                <w:sz w:val="22"/>
                <w:szCs w:val="22"/>
              </w:rP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rPr>
              <w:t xml:space="preserve"> / лечащегося </w:t>
            </w:r>
            <w:r w:rsidRPr="00654787">
              <w:rPr>
                <w:bCs/>
                <w:sz w:val="22"/>
                <w:szCs w:val="22"/>
              </w:rPr>
              <w:lastRenderedPageBreak/>
              <w:t>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lastRenderedPageBreak/>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sz w:val="22"/>
                <w:szCs w:val="22"/>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sz w:val="22"/>
                <w:szCs w:val="2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sz w:val="22"/>
                <w:szCs w:val="22"/>
              </w:rPr>
            </w:pPr>
            <w:proofErr w:type="gramStart"/>
            <w:r w:rsidRPr="00654787">
              <w:rPr>
                <w:bCs/>
                <w:sz w:val="22"/>
                <w:szCs w:val="22"/>
              </w:rPr>
              <w:t>м</w:t>
            </w:r>
            <w:proofErr w:type="gramEnd"/>
            <w:r w:rsidRPr="00654787">
              <w:rPr>
                <w:bCs/>
                <w:sz w:val="22"/>
                <w:szCs w:val="22"/>
              </w:rPr>
              <w:t>,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sz w:val="22"/>
                <w:szCs w:val="22"/>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vertAlign w:val="superscript"/>
              </w:rPr>
              <w:t xml:space="preserve"> </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sz w:val="22"/>
                <w:szCs w:val="2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proofErr w:type="gramStart"/>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 xml:space="preserve">%, </w:t>
            </w:r>
            <w:proofErr w:type="gramStart"/>
            <w:r w:rsidRPr="00654787">
              <w:rPr>
                <w:sz w:val="22"/>
                <w:szCs w:val="22"/>
              </w:rPr>
              <w:t>га</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sz w:val="22"/>
                <w:szCs w:val="22"/>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sz w:val="22"/>
                <w:szCs w:val="22"/>
              </w:rPr>
            </w:pPr>
            <w:r w:rsidRPr="00654787">
              <w:rPr>
                <w:bCs/>
                <w:sz w:val="22"/>
                <w:szCs w:val="22"/>
              </w:rPr>
              <w:t xml:space="preserve">чел. / </w:t>
            </w:r>
            <w:proofErr w:type="gramStart"/>
            <w:r w:rsidRPr="00654787">
              <w:rPr>
                <w:bCs/>
                <w:sz w:val="22"/>
                <w:szCs w:val="22"/>
              </w:rPr>
              <w:t>га</w:t>
            </w:r>
            <w:proofErr w:type="gramEnd"/>
            <w:r w:rsidRPr="00654787">
              <w:rPr>
                <w:bCs/>
                <w:sz w:val="22"/>
                <w:szCs w:val="22"/>
              </w:rPr>
              <w:t>, м,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Расчетные показатели обеспеченности</w:t>
            </w:r>
            <w:r w:rsidRPr="00654787">
              <w:rPr>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rPr>
                <w:sz w:val="22"/>
                <w:szCs w:val="22"/>
              </w:rPr>
            </w:pPr>
            <w:r w:rsidRPr="00654787">
              <w:rPr>
                <w:sz w:val="22"/>
                <w:szCs w:val="22"/>
              </w:rPr>
              <w:lastRenderedPageBreak/>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pP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ind w:left="284" w:hanging="142"/>
              <w:rPr>
                <w:sz w:val="22"/>
                <w:szCs w:val="22"/>
              </w:rPr>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Pr>
                <w:sz w:val="22"/>
                <w:szCs w:val="22"/>
              </w:rPr>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sz w:val="22"/>
                <w:szCs w:val="2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расчетные показатели минимально допустимого уровня </w:t>
            </w:r>
            <w:r w:rsidRPr="00654787">
              <w:rPr>
                <w:sz w:val="22"/>
                <w:szCs w:val="22"/>
              </w:rPr>
              <w:lastRenderedPageBreak/>
              <w:t>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lastRenderedPageBreak/>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Нормативы градостроительного проектирования</w:t>
            </w:r>
            <w:r w:rsidRPr="00654787">
              <w:rPr>
                <w:b/>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sz w:val="22"/>
                <w:szCs w:val="22"/>
              </w:rPr>
            </w:pPr>
            <w:r w:rsidRPr="00654787">
              <w:rPr>
                <w:bCs/>
                <w:spacing w:val="-2"/>
                <w:sz w:val="22"/>
                <w:szCs w:val="22"/>
              </w:rPr>
              <w:t xml:space="preserve">Предельные расчетные показатели минимальной </w:t>
            </w:r>
            <w:proofErr w:type="gramStart"/>
            <w:r w:rsidRPr="00654787">
              <w:rPr>
                <w:bCs/>
                <w:spacing w:val="-2"/>
                <w:sz w:val="22"/>
                <w:szCs w:val="22"/>
              </w:rPr>
              <w:t>плотности застройки площадок сельскохозяйственных объектов производственной зоны</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 xml:space="preserve">Нормативы градостроительного проектирования зон, предназначенных </w:t>
            </w:r>
            <w:r w:rsidRPr="00654787">
              <w:rPr>
                <w:bCs/>
                <w:sz w:val="22"/>
                <w:szCs w:val="22"/>
              </w:rPr>
              <w:lastRenderedPageBreak/>
              <w:t>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rPr>
                <w:sz w:val="22"/>
                <w:szCs w:val="22"/>
              </w:rPr>
            </w:pPr>
            <w:proofErr w:type="gramStart"/>
            <w:r w:rsidRPr="00654787">
              <w:rPr>
                <w:sz w:val="22"/>
                <w:szCs w:val="22"/>
              </w:rPr>
              <w:lastRenderedPageBreak/>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rPr>
                <w:sz w:val="22"/>
                <w:szCs w:val="22"/>
              </w:rPr>
            </w:pPr>
            <w:r w:rsidRPr="00654787">
              <w:rPr>
                <w:sz w:val="22"/>
                <w:szCs w:val="22"/>
              </w:rPr>
              <w:t>мест / 1000 чел.</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rPr>
                <w:sz w:val="22"/>
                <w:szCs w:val="22"/>
              </w:rPr>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rPr>
                <w:sz w:val="22"/>
                <w:szCs w:val="22"/>
              </w:rPr>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xml:space="preserve">- предельные значения расчетных показателей минимально допустимого уровня обеспеченности зданиями для размещения </w:t>
            </w:r>
            <w:proofErr w:type="gramStart"/>
            <w:r w:rsidRPr="00654787">
              <w:rPr>
                <w:sz w:val="22"/>
                <w:szCs w:val="22"/>
              </w:rPr>
              <w:t>аварийно-спасатель-</w:t>
            </w:r>
            <w:proofErr w:type="spellStart"/>
            <w:r w:rsidRPr="00654787">
              <w:rPr>
                <w:sz w:val="22"/>
                <w:szCs w:val="22"/>
              </w:rPr>
              <w:t>ных</w:t>
            </w:r>
            <w:proofErr w:type="spellEnd"/>
            <w:proofErr w:type="gramEnd"/>
            <w:r w:rsidRPr="00654787">
              <w:rPr>
                <w:sz w:val="22"/>
                <w:szCs w:val="22"/>
              </w:rPr>
              <w:t xml:space="preserve"> служб (в том числе поисково-спасательных, лабораторий, </w:t>
            </w:r>
            <w:r w:rsidRPr="00654787">
              <w:rPr>
                <w:sz w:val="22"/>
                <w:szCs w:val="22"/>
              </w:rPr>
              <w:lastRenderedPageBreak/>
              <w:t>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rPr>
                <w:sz w:val="22"/>
                <w:szCs w:val="22"/>
              </w:rP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sz w:val="22"/>
                <w:szCs w:val="2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pPr>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 xml:space="preserve">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rPr>
                <w:sz w:val="22"/>
                <w:szCs w:val="22"/>
              </w:rPr>
            </w:pPr>
            <w:r w:rsidRPr="00654787">
              <w:rPr>
                <w:sz w:val="22"/>
                <w:szCs w:val="22"/>
              </w:rPr>
              <w:lastRenderedPageBreak/>
              <w:t xml:space="preserve">по </w:t>
            </w:r>
          </w:p>
          <w:p w:rsidR="00AC0DE8" w:rsidRPr="00654787" w:rsidRDefault="00AC0DE8" w:rsidP="00C459CF">
            <w:pPr>
              <w:ind w:left="-57" w:right="-57"/>
              <w:jc w:val="center"/>
              <w:rPr>
                <w:sz w:val="22"/>
                <w:szCs w:val="22"/>
              </w:rPr>
            </w:pPr>
            <w:r w:rsidRPr="00654787">
              <w:rPr>
                <w:sz w:val="22"/>
                <w:szCs w:val="22"/>
              </w:rPr>
              <w:lastRenderedPageBreak/>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ind w:left="-57" w:right="-57"/>
              <w:jc w:val="center"/>
              <w:rPr>
                <w:sz w:val="22"/>
                <w:szCs w:val="22"/>
              </w:rP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suppressAutoHyphens/>
              <w:ind w:left="-57" w:right="-57"/>
              <w:jc w:val="center"/>
              <w:rPr>
                <w:bCs/>
                <w:sz w:val="22"/>
                <w:szCs w:val="22"/>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proofErr w:type="spellStart"/>
            <w:r w:rsidRPr="00654787">
              <w:rPr>
                <w:bCs/>
                <w:sz w:val="22"/>
                <w:szCs w:val="22"/>
              </w:rPr>
              <w:t>территориаль</w:t>
            </w:r>
            <w:proofErr w:type="spellEnd"/>
            <w:r w:rsidRPr="00654787">
              <w:rPr>
                <w:bCs/>
                <w:sz w:val="22"/>
                <w:szCs w:val="22"/>
              </w:rPr>
              <w:t xml:space="preserve">-ной доступности </w:t>
            </w:r>
            <w:proofErr w:type="gramStart"/>
            <w:r w:rsidRPr="00654787">
              <w:rPr>
                <w:bCs/>
                <w:sz w:val="22"/>
                <w:szCs w:val="22"/>
              </w:rPr>
              <w:t>объектов материально-технического обеспечения деятельности органов местного самоуправления городского</w:t>
            </w:r>
            <w:proofErr w:type="gramEnd"/>
            <w:r w:rsidRPr="00654787">
              <w:rPr>
                <w:bCs/>
                <w:sz w:val="22"/>
                <w:szCs w:val="22"/>
              </w:rPr>
              <w:t xml:space="preserve"> округа, поселения:</w:t>
            </w:r>
          </w:p>
        </w:tc>
        <w:tc>
          <w:tcPr>
            <w:tcW w:w="1856" w:type="dxa"/>
            <w:vAlign w:val="center"/>
          </w:tcPr>
          <w:p w:rsidR="00AC0DE8" w:rsidRPr="00654787" w:rsidRDefault="00AC0DE8" w:rsidP="00C459CF">
            <w:pPr>
              <w:suppressAutoHyphens/>
              <w:ind w:left="-57" w:right="-57"/>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sz w:val="22"/>
                <w:szCs w:val="22"/>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sz w:val="22"/>
                <w:szCs w:val="22"/>
              </w:rPr>
            </w:pPr>
            <w:r w:rsidRPr="00654787">
              <w:rPr>
                <w:rFonts w:eastAsia="Times New Roman"/>
                <w:bCs/>
                <w:sz w:val="22"/>
                <w:szCs w:val="22"/>
              </w:rPr>
              <w:lastRenderedPageBreak/>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z w:val="22"/>
                <w:szCs w:val="22"/>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sz w:val="22"/>
                <w:szCs w:val="22"/>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sz w:val="22"/>
                <w:szCs w:val="2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val="x-none" w:eastAsia="ar-SA"/>
              </w:rPr>
              <w:t xml:space="preserve"> здания</w:t>
            </w:r>
            <w:r w:rsidRPr="00654787">
              <w:rPr>
                <w:rFonts w:eastAsia="Times New Roman"/>
                <w:sz w:val="22"/>
                <w:szCs w:val="22"/>
                <w:lang w:eastAsia="ar-SA"/>
              </w:rPr>
              <w:t>ми</w:t>
            </w:r>
            <w:r w:rsidRPr="00654787">
              <w:rPr>
                <w:rFonts w:eastAsia="Times New Roman"/>
                <w:sz w:val="22"/>
                <w:szCs w:val="22"/>
                <w:lang w:val="x-none" w:eastAsia="ar-SA"/>
              </w:rPr>
              <w:t xml:space="preserve"> и сооружения</w:t>
            </w:r>
            <w:r w:rsidRPr="00654787">
              <w:rPr>
                <w:rFonts w:eastAsia="Times New Roman"/>
                <w:sz w:val="22"/>
                <w:szCs w:val="22"/>
                <w:lang w:eastAsia="ar-SA"/>
              </w:rPr>
              <w:t>ми</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sz w:val="22"/>
                <w:szCs w:val="22"/>
                <w:lang w:val="x-none"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val="x-none"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val="x-none" w:eastAsia="ar-SA"/>
              </w:rPr>
              <w:t xml:space="preserve"> здани</w:t>
            </w:r>
            <w:r w:rsidRPr="00654787">
              <w:rPr>
                <w:rFonts w:eastAsia="Times New Roman"/>
                <w:sz w:val="22"/>
                <w:szCs w:val="22"/>
                <w:lang w:eastAsia="ar-SA"/>
              </w:rPr>
              <w:t>й</w:t>
            </w:r>
            <w:r w:rsidRPr="00654787">
              <w:rPr>
                <w:rFonts w:eastAsia="Times New Roman"/>
                <w:sz w:val="22"/>
                <w:szCs w:val="22"/>
                <w:lang w:val="x-none" w:eastAsia="ar-SA"/>
              </w:rPr>
              <w:t xml:space="preserve"> и сооружени</w:t>
            </w:r>
            <w:r w:rsidRPr="00654787">
              <w:rPr>
                <w:rFonts w:eastAsia="Times New Roman"/>
                <w:sz w:val="22"/>
                <w:szCs w:val="22"/>
                <w:lang w:eastAsia="ar-SA"/>
              </w:rPr>
              <w:t>й</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sz w:val="22"/>
                <w:szCs w:val="22"/>
              </w:rPr>
            </w:pPr>
            <w:r w:rsidRPr="00654787">
              <w:rPr>
                <w:rFonts w:eastAsia="Times New Roman"/>
                <w:bCs/>
                <w:spacing w:val="-2"/>
                <w:sz w:val="22"/>
                <w:szCs w:val="22"/>
              </w:rPr>
              <w:lastRenderedPageBreak/>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sz w:val="22"/>
                <w:szCs w:val="22"/>
              </w:rPr>
            </w:pPr>
            <w:r w:rsidRPr="00654787">
              <w:rPr>
                <w:rFonts w:eastAsia="Times New Roman"/>
                <w:bCs/>
                <w:spacing w:val="-2"/>
                <w:sz w:val="22"/>
                <w:szCs w:val="22"/>
              </w:rPr>
              <w:t xml:space="preserve">% </w:t>
            </w:r>
            <w:proofErr w:type="spellStart"/>
            <w:r w:rsidRPr="00654787">
              <w:rPr>
                <w:rFonts w:eastAsia="Times New Roman"/>
                <w:bCs/>
                <w:spacing w:val="-2"/>
                <w:sz w:val="22"/>
                <w:szCs w:val="22"/>
              </w:rPr>
              <w:t>машино</w:t>
            </w:r>
            <w:proofErr w:type="spellEnd"/>
            <w:r w:rsidRPr="00654787">
              <w:rPr>
                <w:rFonts w:eastAsia="Times New Roman"/>
                <w:bCs/>
                <w:spacing w:val="-2"/>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06" w:rsidRDefault="00EF3006">
      <w:r>
        <w:separator/>
      </w:r>
    </w:p>
  </w:endnote>
  <w:endnote w:type="continuationSeparator" w:id="0">
    <w:p w:rsidR="00EF3006" w:rsidRDefault="00EF3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72</w:t>
    </w:r>
    <w:r w:rsidRPr="001D69B8">
      <w:rPr>
        <w:rStyle w:val="af3"/>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rsidP="00377838">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D8244C">
      <w:rPr>
        <w:rStyle w:val="af3"/>
        <w:noProof/>
        <w:sz w:val="26"/>
        <w:szCs w:val="26"/>
      </w:rPr>
      <w:t>30</w:t>
    </w:r>
    <w:r w:rsidRPr="001D69B8">
      <w:rPr>
        <w:rStyle w:val="af3"/>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06" w:rsidRDefault="00EF3006">
      <w:r>
        <w:separator/>
      </w:r>
    </w:p>
  </w:footnote>
  <w:footnote w:type="continuationSeparator" w:id="0">
    <w:p w:rsidR="00EF3006" w:rsidRDefault="00EF30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7F0"/>
    <w:rsid w:val="00025B21"/>
    <w:rsid w:val="00075814"/>
    <w:rsid w:val="000B0F33"/>
    <w:rsid w:val="000B7538"/>
    <w:rsid w:val="00123667"/>
    <w:rsid w:val="001274EF"/>
    <w:rsid w:val="00164F6D"/>
    <w:rsid w:val="00195F34"/>
    <w:rsid w:val="001A2817"/>
    <w:rsid w:val="001C45AE"/>
    <w:rsid w:val="001D3619"/>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4211C8"/>
    <w:rsid w:val="004357F0"/>
    <w:rsid w:val="004563C1"/>
    <w:rsid w:val="0047189F"/>
    <w:rsid w:val="00471B45"/>
    <w:rsid w:val="0048351F"/>
    <w:rsid w:val="004C4B3F"/>
    <w:rsid w:val="004E32B6"/>
    <w:rsid w:val="00516BB4"/>
    <w:rsid w:val="0057668D"/>
    <w:rsid w:val="005A533B"/>
    <w:rsid w:val="005B11DE"/>
    <w:rsid w:val="005D1090"/>
    <w:rsid w:val="005F1FAB"/>
    <w:rsid w:val="00637E37"/>
    <w:rsid w:val="0065491E"/>
    <w:rsid w:val="00663997"/>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E6539"/>
    <w:rsid w:val="008F2F33"/>
    <w:rsid w:val="00901ADF"/>
    <w:rsid w:val="00947F1C"/>
    <w:rsid w:val="00963E21"/>
    <w:rsid w:val="0097011D"/>
    <w:rsid w:val="0097795B"/>
    <w:rsid w:val="009A2E22"/>
    <w:rsid w:val="009C6541"/>
    <w:rsid w:val="009F1EAE"/>
    <w:rsid w:val="00A531A4"/>
    <w:rsid w:val="00AB6EC3"/>
    <w:rsid w:val="00AC0DE8"/>
    <w:rsid w:val="00AD18E4"/>
    <w:rsid w:val="00AF0CEA"/>
    <w:rsid w:val="00B64AC8"/>
    <w:rsid w:val="00B80DCD"/>
    <w:rsid w:val="00BB67CE"/>
    <w:rsid w:val="00C10241"/>
    <w:rsid w:val="00C16A7A"/>
    <w:rsid w:val="00C17B2F"/>
    <w:rsid w:val="00C42A95"/>
    <w:rsid w:val="00C71A7D"/>
    <w:rsid w:val="00CD4632"/>
    <w:rsid w:val="00CF5EE2"/>
    <w:rsid w:val="00CF73E9"/>
    <w:rsid w:val="00D0432A"/>
    <w:rsid w:val="00D669A9"/>
    <w:rsid w:val="00D727B6"/>
    <w:rsid w:val="00D8244C"/>
    <w:rsid w:val="00DD0671"/>
    <w:rsid w:val="00DD246F"/>
    <w:rsid w:val="00DE120D"/>
    <w:rsid w:val="00DE2F0C"/>
    <w:rsid w:val="00E047A9"/>
    <w:rsid w:val="00E17AA6"/>
    <w:rsid w:val="00E25ABF"/>
    <w:rsid w:val="00E2604C"/>
    <w:rsid w:val="00E355BF"/>
    <w:rsid w:val="00E71E28"/>
    <w:rsid w:val="00E91A45"/>
    <w:rsid w:val="00E97B2A"/>
    <w:rsid w:val="00EC5A53"/>
    <w:rsid w:val="00EE10B3"/>
    <w:rsid w:val="00EF3006"/>
    <w:rsid w:val="00EF5570"/>
    <w:rsid w:val="00F11E91"/>
    <w:rsid w:val="00F21FB9"/>
    <w:rsid w:val="00F41BF3"/>
    <w:rsid w:val="00F53161"/>
    <w:rsid w:val="00F874A2"/>
    <w:rsid w:val="00FA5B8B"/>
    <w:rsid w:val="00FB3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53</Pages>
  <Words>14804</Words>
  <Characters>84388</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16</cp:revision>
  <dcterms:created xsi:type="dcterms:W3CDTF">2015-11-25T09:03:00Z</dcterms:created>
  <dcterms:modified xsi:type="dcterms:W3CDTF">2016-02-04T11:52:00Z</dcterms:modified>
</cp:coreProperties>
</file>